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5327827"/>
    <w:bookmarkStart w:id="1" w:name="_Toc385328937"/>
    <w:bookmarkStart w:id="2" w:name="_Toc386101056"/>
    <w:bookmarkStart w:id="3" w:name="_Toc386529124"/>
    <w:bookmarkStart w:id="4" w:name="_Toc387160783"/>
    <w:bookmarkStart w:id="5" w:name="_Toc387661082"/>
    <w:bookmarkStart w:id="6" w:name="_Toc394659442"/>
    <w:bookmarkStart w:id="7" w:name="_Toc398825443"/>
    <w:bookmarkStart w:id="8" w:name="_Toc323810043"/>
    <w:bookmarkStart w:id="9" w:name="_Toc324320929"/>
    <w:bookmarkStart w:id="10" w:name="_Toc324345432"/>
    <w:bookmarkStart w:id="11" w:name="_Toc325621263"/>
    <w:bookmarkStart w:id="12" w:name="_Toc325699665"/>
    <w:p w14:paraId="15315F81" w14:textId="77777777" w:rsidR="007E3FAA" w:rsidRPr="0027216C" w:rsidRDefault="00A42038">
      <w:pPr>
        <w:pStyle w:val="DeckblattZS-G1"/>
      </w:pPr>
      <w:r w:rsidRPr="0027216C">
        <w:rPr>
          <w:noProof/>
          <w:lang w:eastAsia="de-AT"/>
        </w:rPr>
        <mc:AlternateContent>
          <mc:Choice Requires="wpg">
            <w:drawing>
              <wp:anchor distT="0" distB="0" distL="114300" distR="114300" simplePos="0" relativeHeight="251659264" behindDoc="1" locked="1" layoutInCell="1" allowOverlap="1" wp14:anchorId="78D7C523" wp14:editId="08B2DB16">
                <wp:simplePos x="0" y="0"/>
                <wp:positionH relativeFrom="page">
                  <wp:posOffset>564515</wp:posOffset>
                </wp:positionH>
                <wp:positionV relativeFrom="page">
                  <wp:posOffset>2329815</wp:posOffset>
                </wp:positionV>
                <wp:extent cx="1286510" cy="7844155"/>
                <wp:effectExtent l="2540" t="5715" r="6350" b="8255"/>
                <wp:wrapNone/>
                <wp:docPr id="1" name="Group 12" descr="blauer Balk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6510" cy="7844155"/>
                          <a:chOff x="889" y="3723"/>
                          <a:chExt cx="2026" cy="12353"/>
                        </a:xfrm>
                      </wpg:grpSpPr>
                      <wps:wsp>
                        <wps:cNvPr id="2" name="Freeform 13"/>
                        <wps:cNvSpPr>
                          <a:spLocks/>
                        </wps:cNvSpPr>
                        <wps:spPr bwMode="auto">
                          <a:xfrm>
                            <a:off x="889" y="3723"/>
                            <a:ext cx="2026" cy="12353"/>
                          </a:xfrm>
                          <a:custGeom>
                            <a:avLst/>
                            <a:gdLst>
                              <a:gd name="T0" fmla="+- 0 2914 889"/>
                              <a:gd name="T1" fmla="*/ T0 w 2026"/>
                              <a:gd name="T2" fmla="+- 0 15132 3723"/>
                              <a:gd name="T3" fmla="*/ 15132 h 12353"/>
                              <a:gd name="T4" fmla="+- 0 2914 889"/>
                              <a:gd name="T5" fmla="*/ T4 w 2026"/>
                              <a:gd name="T6" fmla="+- 0 3723 3723"/>
                              <a:gd name="T7" fmla="*/ 3723 h 12353"/>
                              <a:gd name="T8" fmla="+- 0 889 889"/>
                              <a:gd name="T9" fmla="*/ T8 w 2026"/>
                              <a:gd name="T10" fmla="+- 0 4667 3723"/>
                              <a:gd name="T11" fmla="*/ 4667 h 12353"/>
                              <a:gd name="T12" fmla="+- 0 889 889"/>
                              <a:gd name="T13" fmla="*/ T12 w 2026"/>
                              <a:gd name="T14" fmla="+- 0 16076 3723"/>
                              <a:gd name="T15" fmla="*/ 16076 h 12353"/>
                              <a:gd name="T16" fmla="+- 0 2914 889"/>
                              <a:gd name="T17" fmla="*/ T16 w 2026"/>
                              <a:gd name="T18" fmla="+- 0 15132 3723"/>
                              <a:gd name="T19" fmla="*/ 15132 h 12353"/>
                            </a:gdLst>
                            <a:ahLst/>
                            <a:cxnLst>
                              <a:cxn ang="0">
                                <a:pos x="T1" y="T3"/>
                              </a:cxn>
                              <a:cxn ang="0">
                                <a:pos x="T5" y="T7"/>
                              </a:cxn>
                              <a:cxn ang="0">
                                <a:pos x="T9" y="T11"/>
                              </a:cxn>
                              <a:cxn ang="0">
                                <a:pos x="T13" y="T15"/>
                              </a:cxn>
                              <a:cxn ang="0">
                                <a:pos x="T17" y="T19"/>
                              </a:cxn>
                            </a:cxnLst>
                            <a:rect l="0" t="0" r="r" b="b"/>
                            <a:pathLst>
                              <a:path w="2026" h="12353">
                                <a:moveTo>
                                  <a:pt x="2025" y="11409"/>
                                </a:moveTo>
                                <a:lnTo>
                                  <a:pt x="2025" y="0"/>
                                </a:lnTo>
                                <a:lnTo>
                                  <a:pt x="0" y="944"/>
                                </a:lnTo>
                                <a:lnTo>
                                  <a:pt x="0" y="12353"/>
                                </a:lnTo>
                                <a:lnTo>
                                  <a:pt x="2025" y="11409"/>
                                </a:lnTo>
                                <a:close/>
                              </a:path>
                            </a:pathLst>
                          </a:custGeom>
                          <a:gradFill rotWithShape="1">
                            <a:gsLst>
                              <a:gs pos="0">
                                <a:srgbClr val="61C3D9"/>
                              </a:gs>
                              <a:gs pos="100000">
                                <a:srgbClr val="33859C"/>
                              </a:gs>
                            </a:gsLst>
                            <a:lin ang="5400000" scaled="1"/>
                          </a:gradFill>
                          <a:ln>
                            <a:noFill/>
                          </a:ln>
                          <a:extLst>
                            <a:ext uri="{91240B29-F687-4F45-9708-019B960494DF}">
                              <a14:hiddenLine xmlns:a14="http://schemas.microsoft.com/office/drawing/2010/main" w="12700">
                                <a:solidFill>
                                  <a:srgbClr val="308398"/>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F8A76" id="Group 12" o:spid="_x0000_s1026" alt="blauer Balken" style="position:absolute;margin-left:44.45pt;margin-top:183.45pt;width:101.3pt;height:617.65pt;z-index:-251657216;mso-position-horizontal-relative:page;mso-position-vertical-relative:page" coordorigin="889,3723" coordsize="2026,1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">
                <v:shape id="Freeform 13" o:spid="_x0000_s1027" style="position:absolute;left:889;top:3723;width:2026;height:12353;visibility:visible;mso-wrap-style:square;v-text-anchor:top" coordsize="2026,1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" path="m2025,11409l2025,,,944,,12353r2025,-944xe" fillcolor="#61c3d9" stroked="f" strokecolor="#308398" strokeweight="1pt">
                  <v:fill color2="#33859c" rotate="t" focus="100%" type="gradient"/>
                  <v:path arrowok="t" o:connecttype="custom" o:connectlocs="2025,15132;2025,3723;0,4667;0,16076;2025,15132" o:connectangles="0,0,0,0,0"/>
                </v:shape>
                <w10:wrap anchorx="page" anchory="page"/>
                <w10:anchorlock/>
              </v:group>
            </w:pict>
          </mc:Fallback>
        </mc:AlternateContent>
      </w:r>
      <w:r w:rsidRPr="0027216C">
        <w:t>Zielsteuerung-Gesundheit</w:t>
      </w:r>
    </w:p>
    <w:p w14:paraId="22298220" w14:textId="77777777" w:rsidR="007E3FAA" w:rsidRPr="0027216C" w:rsidRDefault="00A42038">
      <w:pPr>
        <w:pStyle w:val="DeckblattZS-G2"/>
      </w:pPr>
      <w:r w:rsidRPr="0027216C">
        <w:t>Bun</w:t>
      </w:r>
      <w:r w:rsidRPr="0027216C">
        <w:rPr>
          <w:spacing w:val="156"/>
        </w:rPr>
        <w:t>d</w:t>
      </w:r>
      <w:r w:rsidRPr="0027216C">
        <w:rPr>
          <w:color w:val="2F7C91"/>
          <w:spacing w:val="156"/>
          <w:position w:val="3"/>
          <w:sz w:val="19"/>
          <w:szCs w:val="19"/>
        </w:rPr>
        <w:t>•</w:t>
      </w:r>
      <w:r w:rsidRPr="0027216C">
        <w:t>Lände</w:t>
      </w:r>
      <w:r w:rsidRPr="0027216C">
        <w:rPr>
          <w:spacing w:val="156"/>
        </w:rPr>
        <w:t>r</w:t>
      </w:r>
      <w:r w:rsidRPr="0027216C">
        <w:rPr>
          <w:color w:val="2F7C91"/>
          <w:spacing w:val="156"/>
          <w:position w:val="3"/>
          <w:sz w:val="19"/>
          <w:szCs w:val="19"/>
        </w:rPr>
        <w:t>•</w:t>
      </w:r>
      <w:r w:rsidRPr="0027216C">
        <w:t>Sozialversicherung</w:t>
      </w:r>
    </w:p>
    <w:p w14:paraId="2D71CA30" w14:textId="5366069C" w:rsidR="007E3FAA" w:rsidRPr="0027216C" w:rsidRDefault="00A42038" w:rsidP="006652D5">
      <w:pPr>
        <w:pStyle w:val="DeckblattHaupttitel"/>
        <w:spacing w:after="720"/>
      </w:pPr>
      <w:bookmarkStart w:id="13" w:name="_Hlk179191272"/>
      <w:r w:rsidRPr="0027216C">
        <w:rPr>
          <w:sz w:val="74"/>
          <w:szCs w:val="74"/>
        </w:rPr>
        <w:t>Qualitätsstandard</w:t>
      </w:r>
      <w:r w:rsidRPr="0027216C">
        <w:rPr>
          <w:sz w:val="74"/>
          <w:szCs w:val="74"/>
        </w:rPr>
        <w:br/>
        <w:t xml:space="preserve">Integrierte Versorgung </w:t>
      </w:r>
      <w:r w:rsidR="00233FB7">
        <w:rPr>
          <w:sz w:val="74"/>
          <w:szCs w:val="74"/>
        </w:rPr>
        <w:t>C</w:t>
      </w:r>
      <w:r w:rsidR="00233FB7" w:rsidRPr="0027216C">
        <w:rPr>
          <w:sz w:val="74"/>
          <w:szCs w:val="74"/>
        </w:rPr>
        <w:t xml:space="preserve">hronische </w:t>
      </w:r>
      <w:r w:rsidRPr="0027216C">
        <w:rPr>
          <w:sz w:val="74"/>
          <w:szCs w:val="74"/>
        </w:rPr>
        <w:t>Wunden</w:t>
      </w:r>
    </w:p>
    <w:bookmarkEnd w:id="13"/>
    <w:p w14:paraId="01664EA3" w14:textId="3837AF98" w:rsidR="007E3FAA" w:rsidRPr="0027216C" w:rsidRDefault="007E3FAA" w:rsidP="00062395">
      <w:pPr>
        <w:spacing w:before="2640" w:line="880" w:lineRule="exact"/>
        <w:jc w:val="left"/>
        <w:rPr>
          <w:rFonts w:ascii="Calibri" w:eastAsia="Arial" w:hAnsi="Calibri" w:cs="Arial"/>
          <w:b/>
          <w:bCs/>
          <w:color w:val="32899E"/>
          <w:szCs w:val="20"/>
        </w:rPr>
      </w:pPr>
    </w:p>
    <w:bookmarkStart w:id="14" w:name="_Hlk199925167"/>
    <w:p w14:paraId="4CE3635C" w14:textId="183DFFF8" w:rsidR="007E3FAA" w:rsidRPr="00D771A2" w:rsidRDefault="00595E44" w:rsidP="00277DE9">
      <w:pPr>
        <w:pStyle w:val="DeckblattBerichtsart0"/>
        <w:spacing w:before="2400"/>
        <w:ind w:left="2499"/>
        <w:rPr>
          <w:color w:val="auto"/>
          <w:lang w:val="de-DE"/>
        </w:rPr>
      </w:pPr>
      <w:sdt>
        <w:sdtPr>
          <w:rPr>
            <w:sz w:val="24"/>
            <w:szCs w:val="24"/>
            <w:lang w:val="de-DE"/>
          </w:rPr>
          <w:id w:val="-1149899154"/>
          <w:placeholder>
            <w:docPart w:val="C1F7930EA0424ABD8A71317E1C34FDCC"/>
          </w:placeholder>
          <w:comboBox>
            <w:listItem w:value="Wählen Sie ein Element aus."/>
            <w:listItem w:displayText="Beschlossen durch" w:value="Beschlossen durch"/>
            <w:listItem w:displayText="Vorlage an" w:value="Vorlage an"/>
          </w:comboBox>
        </w:sdtPr>
        <w:sdtEndPr/>
        <w:sdtContent>
          <w:r w:rsidR="003E4A35">
            <w:rPr>
              <w:sz w:val="24"/>
              <w:szCs w:val="24"/>
              <w:lang w:val="de-DE"/>
            </w:rPr>
            <w:t>Version</w:t>
          </w:r>
          <w:r w:rsidR="00E0447F" w:rsidRPr="0027216C">
            <w:rPr>
              <w:sz w:val="24"/>
              <w:szCs w:val="24"/>
              <w:lang w:val="de-DE"/>
            </w:rPr>
            <w:t xml:space="preserve"> für die öffentliche Konsultation</w:t>
          </w:r>
        </w:sdtContent>
      </w:sdt>
      <w:bookmarkEnd w:id="14"/>
    </w:p>
    <w:p w14:paraId="4A679757" w14:textId="77777777" w:rsidR="007E3FAA" w:rsidRPr="003E4A35" w:rsidRDefault="007E3FAA">
      <w:pPr>
        <w:spacing w:before="120"/>
        <w:ind w:left="1985"/>
        <w:jc w:val="left"/>
        <w:rPr>
          <w:rFonts w:eastAsia="Times New Roman" w:cs="Times New Roman"/>
          <w:lang w:val="de-DE"/>
        </w:rPr>
        <w:sectPr w:rsidR="007E3FAA" w:rsidRPr="003E4A35">
          <w:pgSz w:w="11907" w:h="16840" w:code="9"/>
          <w:pgMar w:top="1077" w:right="1134" w:bottom="765" w:left="907" w:header="709" w:footer="567" w:gutter="0"/>
          <w:paperSrc w:first="7" w:other="7"/>
          <w:cols w:space="720"/>
          <w:titlePg/>
          <w:docGrid w:linePitch="299"/>
        </w:sectPr>
      </w:pPr>
    </w:p>
    <w:bookmarkEnd w:id="0"/>
    <w:bookmarkEnd w:id="1"/>
    <w:bookmarkEnd w:id="2"/>
    <w:bookmarkEnd w:id="3"/>
    <w:bookmarkEnd w:id="4"/>
    <w:bookmarkEnd w:id="5"/>
    <w:bookmarkEnd w:id="6"/>
    <w:bookmarkEnd w:id="7"/>
    <w:p w14:paraId="0325BE86" w14:textId="77777777" w:rsidR="007E3FAA" w:rsidRPr="0027216C" w:rsidRDefault="00A42038">
      <w:pPr>
        <w:pStyle w:val="Impressumberschrift"/>
      </w:pPr>
      <w:r w:rsidRPr="0027216C">
        <w:lastRenderedPageBreak/>
        <w:t>Impressum</w:t>
      </w:r>
    </w:p>
    <w:p w14:paraId="5A0ACCF5" w14:textId="40220B14" w:rsidR="007E3FAA" w:rsidRPr="0027216C" w:rsidRDefault="00A42038" w:rsidP="00CF2306">
      <w:pPr>
        <w:pStyle w:val="ImpressumZwischenberschrift"/>
        <w:spacing w:before="240"/>
      </w:pPr>
      <w:r w:rsidRPr="0027216C">
        <w:t xml:space="preserve">Fachliche </w:t>
      </w:r>
      <w:sdt>
        <w:sdtPr>
          <w:id w:val="-494735290"/>
          <w:placeholder>
            <w:docPart w:val="E9145FE808764853821295ADBFAF9D24"/>
          </w:placeholder>
          <w:comboBox>
            <w:listItem w:value="Wählen Sie ein Element aus."/>
            <w:listItem w:displayText="Begleitung" w:value="Begleitung"/>
            <w:listItem w:displayText="Expertise" w:value="Expertise"/>
          </w:comboBox>
        </w:sdtPr>
        <w:sdtEndPr/>
        <w:sdtContent>
          <w:r w:rsidRPr="0027216C">
            <w:t>Begleitung</w:t>
          </w:r>
        </w:sdtContent>
      </w:sdt>
      <w:r w:rsidRPr="0027216C">
        <w:t xml:space="preserve"> durch die Expertinnen</w:t>
      </w:r>
      <w:r w:rsidR="00757FCB">
        <w:t xml:space="preserve"> und </w:t>
      </w:r>
      <w:r w:rsidRPr="0027216C">
        <w:t xml:space="preserve">Experten der </w:t>
      </w:r>
      <w:sdt>
        <w:sdtPr>
          <w:rPr>
            <w:color w:val="auto"/>
          </w:rPr>
          <w:id w:val="1579096802"/>
          <w:placeholder>
            <w:docPart w:val="262F61FB862647999EDDF0861B14277E"/>
          </w:placeholder>
          <w:comboBox>
            <w:listItem w:value="Wählen Sie ein Element aus."/>
            <w:listItem w:displayText="Fachgruppe" w:value="Fachgruppe"/>
            <w:listItem w:displayText="Projektgruppe" w:value="Projektgruppe"/>
          </w:comboBox>
        </w:sdtPr>
        <w:sdtEndPr/>
        <w:sdtContent>
          <w:r w:rsidR="00680BDE" w:rsidRPr="0027216C">
            <w:rPr>
              <w:color w:val="auto"/>
            </w:rPr>
            <w:t>Themen</w:t>
          </w:r>
          <w:r w:rsidRPr="0027216C">
            <w:rPr>
              <w:color w:val="auto"/>
            </w:rPr>
            <w:t>gruppe</w:t>
          </w:r>
        </w:sdtContent>
      </w:sdt>
      <w:r w:rsidRPr="0027216C">
        <w:t xml:space="preserve"> </w:t>
      </w:r>
      <w:r w:rsidR="004A16D2" w:rsidRPr="0027216C">
        <w:t>Qualität</w:t>
      </w:r>
      <w:r w:rsidRPr="00CF2306">
        <w:rPr>
          <w:b w:val="0"/>
          <w:bCs w:val="0"/>
        </w:rPr>
        <w:t xml:space="preserve"> </w:t>
      </w:r>
      <w:r w:rsidR="00021885" w:rsidRPr="00CF2306">
        <w:rPr>
          <w:b w:val="0"/>
          <w:bCs w:val="0"/>
        </w:rPr>
        <w:t xml:space="preserve">(bis 2024 Fachgruppe Versorgungsprozesse) </w:t>
      </w:r>
      <w:r w:rsidRPr="0027216C">
        <w:t xml:space="preserve">und der </w:t>
      </w:r>
      <w:r w:rsidR="00787953">
        <w:t>Arbeits</w:t>
      </w:r>
      <w:r w:rsidRPr="0027216C">
        <w:t>gruppe Qualitätsstandards</w:t>
      </w:r>
      <w:r w:rsidR="00787953">
        <w:t xml:space="preserve"> </w:t>
      </w:r>
      <w:r w:rsidR="00787953" w:rsidRPr="00C75C20">
        <w:rPr>
          <w:b w:val="0"/>
          <w:bCs w:val="0"/>
        </w:rPr>
        <w:t xml:space="preserve">(bis 2024 </w:t>
      </w:r>
      <w:r w:rsidR="00832FB3" w:rsidRPr="00C75C20">
        <w:rPr>
          <w:b w:val="0"/>
          <w:bCs w:val="0"/>
        </w:rPr>
        <w:t>Projekt</w:t>
      </w:r>
      <w:r w:rsidR="00787953" w:rsidRPr="00C75C20">
        <w:rPr>
          <w:b w:val="0"/>
          <w:bCs w:val="0"/>
        </w:rPr>
        <w:t>gruppe Qualitätsstandards)</w:t>
      </w:r>
    </w:p>
    <w:p w14:paraId="6B65A846" w14:textId="2DC533CF" w:rsidR="007E3FAA" w:rsidRPr="0027216C" w:rsidRDefault="00A42038" w:rsidP="00CF2306">
      <w:pPr>
        <w:pStyle w:val="ImpressumZwischenberschrift"/>
        <w:spacing w:before="240"/>
      </w:pPr>
      <w:r w:rsidRPr="0027216C">
        <w:t xml:space="preserve">Mitglieder der </w:t>
      </w:r>
      <w:r w:rsidR="00C75C20">
        <w:t>Arbeits</w:t>
      </w:r>
      <w:r w:rsidR="00C75C20" w:rsidRPr="0027216C">
        <w:t xml:space="preserve">gruppe </w:t>
      </w:r>
      <w:r w:rsidRPr="0027216C">
        <w:t xml:space="preserve">Qualitätsstandards </w:t>
      </w:r>
      <w:r w:rsidRPr="0027216C">
        <w:rPr>
          <w:b w:val="0"/>
          <w:bCs w:val="0"/>
        </w:rPr>
        <w:t>(Reihung alphabetisch)</w:t>
      </w:r>
      <w:r w:rsidR="00757FCB">
        <w:rPr>
          <w:b w:val="0"/>
          <w:bCs w:val="0"/>
        </w:rPr>
        <w:t>:</w:t>
      </w:r>
    </w:p>
    <w:p w14:paraId="668E558E" w14:textId="4E6499EA" w:rsidR="00C023E7" w:rsidRPr="0027216C" w:rsidRDefault="00C023E7" w:rsidP="00CF2306">
      <w:pPr>
        <w:pStyle w:val="ImpressumText"/>
        <w:spacing w:after="20"/>
      </w:pPr>
      <w:r w:rsidRPr="0027216C">
        <w:t>Margarita Amon (</w:t>
      </w:r>
      <w:r w:rsidR="00D36EA4" w:rsidRPr="0027216C">
        <w:t>Bundesministerium für Arbeit, Soziales, Gesundheit, Pflege und Konsumentenschutz</w:t>
      </w:r>
      <w:r w:rsidRPr="0027216C">
        <w:t>)</w:t>
      </w:r>
    </w:p>
    <w:p w14:paraId="35F56B09" w14:textId="4E45185A" w:rsidR="007E3FAA" w:rsidRPr="0027216C" w:rsidRDefault="00415508" w:rsidP="00CF2306">
      <w:pPr>
        <w:pStyle w:val="ImpressumText"/>
        <w:spacing w:after="20"/>
      </w:pPr>
      <w:r w:rsidRPr="0027216C">
        <w:t>Ernst Fürthaller</w:t>
      </w:r>
      <w:r w:rsidR="00C023E7" w:rsidRPr="0027216C">
        <w:t xml:space="preserve"> (ehemals </w:t>
      </w:r>
      <w:proofErr w:type="gramStart"/>
      <w:r w:rsidR="00C023E7" w:rsidRPr="0027216C">
        <w:t>Oberösterreichischer</w:t>
      </w:r>
      <w:proofErr w:type="gramEnd"/>
      <w:r w:rsidR="00C023E7" w:rsidRPr="0027216C">
        <w:t xml:space="preserve"> Gesundheitsfonds)</w:t>
      </w:r>
      <w:r w:rsidR="004C6219" w:rsidRPr="0027216C">
        <w:t>, bis 2024</w:t>
      </w:r>
    </w:p>
    <w:p w14:paraId="63B62BE5" w14:textId="77777777" w:rsidR="00C75C20" w:rsidRPr="0027216C" w:rsidRDefault="00C75C20" w:rsidP="00C75C20">
      <w:pPr>
        <w:pStyle w:val="ImpressumText"/>
        <w:spacing w:after="20"/>
      </w:pPr>
      <w:r>
        <w:t xml:space="preserve">Eva Kaser </w:t>
      </w:r>
      <w:r w:rsidRPr="0027216C">
        <w:t>(</w:t>
      </w:r>
      <w:proofErr w:type="gramStart"/>
      <w:r w:rsidRPr="0027216C">
        <w:t>Oberösterreichischer</w:t>
      </w:r>
      <w:proofErr w:type="gramEnd"/>
      <w:r w:rsidRPr="0027216C">
        <w:t xml:space="preserve"> Gesundheitsfonds)</w:t>
      </w:r>
    </w:p>
    <w:p w14:paraId="695C74CC" w14:textId="77777777" w:rsidR="00757FCB" w:rsidRPr="0027216C" w:rsidRDefault="00757FCB" w:rsidP="00757FCB">
      <w:pPr>
        <w:pStyle w:val="ImpressumText"/>
        <w:spacing w:after="20"/>
      </w:pPr>
      <w:r w:rsidRPr="0027216C">
        <w:t>Ingrid Kern-Homolka (Österreichische Gesundheitskasse)</w:t>
      </w:r>
    </w:p>
    <w:p w14:paraId="250910BD" w14:textId="7C5932B0" w:rsidR="00415508" w:rsidRPr="0027216C" w:rsidRDefault="00415508" w:rsidP="00CF2306">
      <w:pPr>
        <w:pStyle w:val="ImpressumText"/>
        <w:spacing w:after="20"/>
      </w:pPr>
      <w:r w:rsidRPr="0027216C">
        <w:t>Birgit Kraft</w:t>
      </w:r>
      <w:r w:rsidR="00C023E7" w:rsidRPr="0027216C">
        <w:t xml:space="preserve"> (</w:t>
      </w:r>
      <w:proofErr w:type="gramStart"/>
      <w:r w:rsidR="00C023E7" w:rsidRPr="0027216C">
        <w:t>Österreichische</w:t>
      </w:r>
      <w:proofErr w:type="gramEnd"/>
      <w:r w:rsidR="00C023E7" w:rsidRPr="0027216C">
        <w:t xml:space="preserve"> Gesundheitskasse)</w:t>
      </w:r>
    </w:p>
    <w:p w14:paraId="7B03EF09" w14:textId="4890C839" w:rsidR="00415508" w:rsidRPr="0027216C" w:rsidRDefault="00415508" w:rsidP="00CF2306">
      <w:pPr>
        <w:pStyle w:val="ImpressumText"/>
        <w:spacing w:after="20"/>
      </w:pPr>
      <w:r w:rsidRPr="0027216C">
        <w:t>Nicola Maier</w:t>
      </w:r>
      <w:r w:rsidR="000441E3" w:rsidRPr="0027216C">
        <w:t xml:space="preserve"> (Niederösterreichischer Gesundheits- und Sozialfonds)</w:t>
      </w:r>
    </w:p>
    <w:p w14:paraId="58E0DB9E" w14:textId="14C5F029" w:rsidR="00415508" w:rsidRPr="0027216C" w:rsidRDefault="00C023E7" w:rsidP="00CF2306">
      <w:pPr>
        <w:pStyle w:val="ImpressumText"/>
        <w:spacing w:after="20"/>
      </w:pPr>
      <w:r w:rsidRPr="0027216C">
        <w:t>Verena Nikolai (</w:t>
      </w:r>
      <w:r w:rsidR="00D36EA4" w:rsidRPr="0027216C">
        <w:t>Bundesministerium für Arbeit, Soziales, Gesundheit, Pflege und Konsumentenschutz</w:t>
      </w:r>
      <w:r w:rsidR="00CF2306">
        <w:t>)</w:t>
      </w:r>
    </w:p>
    <w:p w14:paraId="64BD7F31" w14:textId="77777777" w:rsidR="00C023E7" w:rsidRPr="0027216C" w:rsidRDefault="00415508" w:rsidP="00CF2306">
      <w:pPr>
        <w:pStyle w:val="ImpressumText"/>
        <w:spacing w:after="20"/>
      </w:pPr>
      <w:r w:rsidRPr="0027216C">
        <w:t>Verena Radner</w:t>
      </w:r>
      <w:r w:rsidR="00C023E7" w:rsidRPr="0027216C">
        <w:t xml:space="preserve"> (</w:t>
      </w:r>
      <w:proofErr w:type="gramStart"/>
      <w:r w:rsidR="00C023E7" w:rsidRPr="0027216C">
        <w:t>Österreichische</w:t>
      </w:r>
      <w:proofErr w:type="gramEnd"/>
      <w:r w:rsidR="00C023E7" w:rsidRPr="0027216C">
        <w:t xml:space="preserve"> Gesundheitskasse)</w:t>
      </w:r>
    </w:p>
    <w:p w14:paraId="13D690A1" w14:textId="6C748591" w:rsidR="00415508" w:rsidRPr="0027216C" w:rsidRDefault="00415508" w:rsidP="00CF2306">
      <w:pPr>
        <w:pStyle w:val="ImpressumText"/>
        <w:spacing w:after="20"/>
      </w:pPr>
      <w:r w:rsidRPr="0027216C">
        <w:t>Annemarie Rotter</w:t>
      </w:r>
      <w:r w:rsidR="00FD23D7" w:rsidRPr="0027216C">
        <w:t xml:space="preserve"> </w:t>
      </w:r>
      <w:r w:rsidR="004C6219" w:rsidRPr="0027216C">
        <w:t>(Tiroler Gesundheitsfonds)</w:t>
      </w:r>
    </w:p>
    <w:p w14:paraId="4E120294" w14:textId="6369B1DA" w:rsidR="00D36EA4" w:rsidRPr="0027216C" w:rsidRDefault="00D36EA4" w:rsidP="00CF2306">
      <w:pPr>
        <w:pStyle w:val="ImpressumText"/>
        <w:spacing w:after="20"/>
      </w:pPr>
      <w:r w:rsidRPr="0027216C">
        <w:t>Ulrike Stark (Gesundheitsfonds Steiermark)</w:t>
      </w:r>
    </w:p>
    <w:p w14:paraId="5FA92A1C" w14:textId="3E4A40C5" w:rsidR="00C023E7" w:rsidRPr="0027216C" w:rsidRDefault="00C023E7" w:rsidP="00CF2306">
      <w:pPr>
        <w:pStyle w:val="ImpressumText"/>
        <w:spacing w:after="20"/>
      </w:pPr>
      <w:r w:rsidRPr="0027216C">
        <w:t>Patrizia Theurer (</w:t>
      </w:r>
      <w:r w:rsidR="00D36EA4" w:rsidRPr="0027216C">
        <w:t>Bundesministerium für Arbeit, Soziales, Gesundheit, Pflege und Konsumentenschutz</w:t>
      </w:r>
      <w:r w:rsidRPr="0027216C">
        <w:t>)</w:t>
      </w:r>
    </w:p>
    <w:p w14:paraId="61A0DF23" w14:textId="3E6EA7D5" w:rsidR="00415508" w:rsidRPr="0027216C" w:rsidRDefault="00415508" w:rsidP="00CF2306">
      <w:pPr>
        <w:pStyle w:val="ImpressumText"/>
        <w:spacing w:after="20"/>
      </w:pPr>
      <w:r w:rsidRPr="0027216C">
        <w:t>Eva Wolfbauer</w:t>
      </w:r>
      <w:r w:rsidR="00C023E7" w:rsidRPr="0027216C">
        <w:t xml:space="preserve"> </w:t>
      </w:r>
      <w:r w:rsidR="004C6219" w:rsidRPr="0027216C">
        <w:t>(Gesundheitsfonds Steiermark)</w:t>
      </w:r>
    </w:p>
    <w:p w14:paraId="3CAAA137" w14:textId="39A85F3E" w:rsidR="00D36EA4" w:rsidRDefault="00D36EA4" w:rsidP="00CF2306">
      <w:pPr>
        <w:pStyle w:val="ImpressumText"/>
        <w:spacing w:after="20"/>
      </w:pPr>
      <w:r w:rsidRPr="0027216C">
        <w:t>Manuela Zlamy, PhD (Tiroler Gesundheitsfonds)</w:t>
      </w:r>
    </w:p>
    <w:p w14:paraId="2317F770" w14:textId="77777777" w:rsidR="007E3FAA" w:rsidRPr="0027216C" w:rsidRDefault="00A42038" w:rsidP="00CF2306">
      <w:pPr>
        <w:pStyle w:val="ImpressumZwischenberschrift"/>
        <w:spacing w:before="240"/>
      </w:pPr>
      <w:r w:rsidRPr="0027216C">
        <w:t>Fachliche Unterstützung von der Gesundheit Österreich GmbH:</w:t>
      </w:r>
    </w:p>
    <w:p w14:paraId="697C3BE2" w14:textId="77777777" w:rsidR="007E3FAA" w:rsidRPr="0027216C" w:rsidRDefault="00A42038" w:rsidP="00CF2306">
      <w:pPr>
        <w:pStyle w:val="ImpressumText"/>
        <w:spacing w:after="20"/>
      </w:pPr>
      <w:r w:rsidRPr="0027216C">
        <w:t>Alexander Eisenmann</w:t>
      </w:r>
    </w:p>
    <w:p w14:paraId="5E122FC8" w14:textId="77777777" w:rsidR="007E3FAA" w:rsidRPr="0027216C" w:rsidRDefault="00A42038" w:rsidP="00CF2306">
      <w:pPr>
        <w:pStyle w:val="ImpressumText"/>
        <w:spacing w:after="20"/>
      </w:pPr>
      <w:r w:rsidRPr="0027216C">
        <w:t>Clemens Haushofer</w:t>
      </w:r>
    </w:p>
    <w:p w14:paraId="7ABFEDF5" w14:textId="77777777" w:rsidR="007E3FAA" w:rsidRPr="0027216C" w:rsidRDefault="00A42038" w:rsidP="00CF2306">
      <w:pPr>
        <w:pStyle w:val="ImpressumText"/>
        <w:spacing w:after="20"/>
      </w:pPr>
      <w:r w:rsidRPr="0027216C">
        <w:t>Isabel Soede</w:t>
      </w:r>
    </w:p>
    <w:p w14:paraId="3018DC32" w14:textId="77777777" w:rsidR="007E3FAA" w:rsidRPr="0027216C" w:rsidRDefault="00A42038" w:rsidP="00CF2306">
      <w:pPr>
        <w:pStyle w:val="ImpressumText"/>
        <w:spacing w:after="20"/>
      </w:pPr>
      <w:r w:rsidRPr="0027216C">
        <w:t>Ursula Berger</w:t>
      </w:r>
    </w:p>
    <w:p w14:paraId="44C43E4F" w14:textId="77777777" w:rsidR="007E3FAA" w:rsidRPr="0027216C" w:rsidRDefault="00A42038" w:rsidP="00CF2306">
      <w:pPr>
        <w:pStyle w:val="ImpressumZwischenberschrift"/>
        <w:spacing w:before="240"/>
      </w:pPr>
      <w:r w:rsidRPr="0027216C">
        <w:t>Projektassistenz:</w:t>
      </w:r>
    </w:p>
    <w:p w14:paraId="379735DD" w14:textId="77777777" w:rsidR="007E3FAA" w:rsidRPr="0027216C" w:rsidRDefault="00A42038">
      <w:pPr>
        <w:pStyle w:val="ImpressumText"/>
      </w:pPr>
      <w:r w:rsidRPr="0027216C">
        <w:t>Katharina Kroisz</w:t>
      </w:r>
    </w:p>
    <w:p w14:paraId="3EFA3EF8" w14:textId="5879D5E6" w:rsidR="007E3FAA" w:rsidRPr="0027216C" w:rsidRDefault="00A42038" w:rsidP="00CF2306">
      <w:pPr>
        <w:pStyle w:val="ImpressumZwischenberschrift"/>
        <w:spacing w:before="240"/>
        <w:rPr>
          <w:b w:val="0"/>
          <w:bCs w:val="0"/>
        </w:rPr>
      </w:pPr>
      <w:r w:rsidRPr="0027216C">
        <w:t xml:space="preserve">Internes Review </w:t>
      </w:r>
      <w:r w:rsidRPr="0027216C">
        <w:rPr>
          <w:b w:val="0"/>
          <w:bCs w:val="0"/>
        </w:rPr>
        <w:t>(</w:t>
      </w:r>
      <w:r w:rsidR="006E6037" w:rsidRPr="0027216C">
        <w:rPr>
          <w:b w:val="0"/>
          <w:bCs w:val="0"/>
        </w:rPr>
        <w:t>Reihung alphabetisch</w:t>
      </w:r>
      <w:r w:rsidRPr="0027216C">
        <w:rPr>
          <w:b w:val="0"/>
          <w:bCs w:val="0"/>
        </w:rPr>
        <w:t>)</w:t>
      </w:r>
      <w:r w:rsidR="00757FCB">
        <w:rPr>
          <w:b w:val="0"/>
          <w:bCs w:val="0"/>
        </w:rPr>
        <w:t>:</w:t>
      </w:r>
    </w:p>
    <w:p w14:paraId="113989C9" w14:textId="2B622B77" w:rsidR="00F15518" w:rsidRPr="0027216C" w:rsidRDefault="00F15518" w:rsidP="00062C3E">
      <w:pPr>
        <w:pStyle w:val="ImpressumText"/>
        <w:ind w:left="11"/>
      </w:pPr>
      <w:r w:rsidRPr="0027216C">
        <w:t xml:space="preserve">Alexandra </w:t>
      </w:r>
      <w:proofErr w:type="spellStart"/>
      <w:r w:rsidRPr="0027216C">
        <w:t>Fürruther</w:t>
      </w:r>
      <w:proofErr w:type="spellEnd"/>
      <w:r w:rsidRPr="0027216C">
        <w:t xml:space="preserve"> (</w:t>
      </w:r>
      <w:r w:rsidR="00DF4994">
        <w:t>l</w:t>
      </w:r>
      <w:r w:rsidR="00DF4994" w:rsidRPr="00C75C20">
        <w:t xml:space="preserve">eitende </w:t>
      </w:r>
      <w:r w:rsidR="00C75C20">
        <w:t>DGKP</w:t>
      </w:r>
      <w:r w:rsidR="00C75C20" w:rsidRPr="00C75C20">
        <w:t xml:space="preserve"> Wundmanagement</w:t>
      </w:r>
      <w:r w:rsidR="00C75C20">
        <w:t>,</w:t>
      </w:r>
      <w:r w:rsidR="00B0498E" w:rsidRPr="00B0498E">
        <w:t xml:space="preserve"> Landeskrankenhaus-Universitätskliniken Innsbruck</w:t>
      </w:r>
      <w:r w:rsidR="00C75C20">
        <w:t>)</w:t>
      </w:r>
    </w:p>
    <w:p w14:paraId="5B683590" w14:textId="7DF37DEE" w:rsidR="008B634D" w:rsidRPr="0027216C" w:rsidRDefault="008B634D" w:rsidP="00062C3E">
      <w:pPr>
        <w:pStyle w:val="ImpressumText"/>
        <w:ind w:left="11"/>
      </w:pPr>
      <w:r w:rsidRPr="0027216C">
        <w:t>Peter Grundtner (</w:t>
      </w:r>
      <w:r w:rsidR="008F6551" w:rsidRPr="008F6551">
        <w:t>Facharzt für Allgemeinmedizin, Allgemeinchirurgie und Gefäßchirurgie</w:t>
      </w:r>
      <w:r w:rsidR="00DF4994">
        <w:t xml:space="preserve">, </w:t>
      </w:r>
      <w:r w:rsidR="00DF4994" w:rsidRPr="00DF4994">
        <w:t>Wunddiplomarzt</w:t>
      </w:r>
      <w:r w:rsidR="00DF4994">
        <w:t xml:space="preserve">, </w:t>
      </w:r>
      <w:r w:rsidR="00DF4994" w:rsidRPr="00DF4994">
        <w:t>Wundzentrum Wien Süd</w:t>
      </w:r>
      <w:r w:rsidRPr="0027216C">
        <w:t>)</w:t>
      </w:r>
    </w:p>
    <w:p w14:paraId="6767B158" w14:textId="163AB01E" w:rsidR="00F15518" w:rsidRPr="0027216C" w:rsidRDefault="00F15518" w:rsidP="00062C3E">
      <w:pPr>
        <w:pStyle w:val="ImpressumText"/>
        <w:ind w:left="11"/>
      </w:pPr>
      <w:r w:rsidRPr="0027216C">
        <w:t>Christoph Heiserer (</w:t>
      </w:r>
      <w:r w:rsidR="00DF4994">
        <w:t xml:space="preserve">niedergelassener </w:t>
      </w:r>
      <w:r w:rsidR="0068013A" w:rsidRPr="0027216C">
        <w:rPr>
          <w:lang w:val="de-DE"/>
        </w:rPr>
        <w:t>Facharzt für Allgemein- u</w:t>
      </w:r>
      <w:r w:rsidR="008842BA" w:rsidRPr="0027216C">
        <w:rPr>
          <w:lang w:val="de-DE"/>
        </w:rPr>
        <w:t>nd</w:t>
      </w:r>
      <w:r w:rsidR="0068013A" w:rsidRPr="0027216C">
        <w:rPr>
          <w:lang w:val="de-DE"/>
        </w:rPr>
        <w:t xml:space="preserve"> Familienmedizin</w:t>
      </w:r>
      <w:r w:rsidRPr="0027216C">
        <w:t>)</w:t>
      </w:r>
    </w:p>
    <w:p w14:paraId="29AB8F01" w14:textId="519A36FB" w:rsidR="008B634D" w:rsidRPr="0027216C" w:rsidRDefault="008B634D" w:rsidP="00062C3E">
      <w:pPr>
        <w:pStyle w:val="ImpressumText"/>
        <w:ind w:left="11"/>
        <w:rPr>
          <w:lang w:val="de-DE"/>
        </w:rPr>
      </w:pPr>
      <w:r w:rsidRPr="0027216C">
        <w:rPr>
          <w:lang w:val="de-DE"/>
        </w:rPr>
        <w:t>Philipp Jud (</w:t>
      </w:r>
      <w:r w:rsidR="006745A0" w:rsidRPr="006745A0">
        <w:rPr>
          <w:lang w:val="de-DE"/>
        </w:rPr>
        <w:t>Facharzt</w:t>
      </w:r>
      <w:r w:rsidRPr="0027216C">
        <w:rPr>
          <w:lang w:val="de-DE"/>
        </w:rPr>
        <w:t xml:space="preserve"> </w:t>
      </w:r>
      <w:r w:rsidR="00791BFE" w:rsidRPr="0027216C">
        <w:rPr>
          <w:lang w:val="de-DE"/>
        </w:rPr>
        <w:t xml:space="preserve">in der </w:t>
      </w:r>
      <w:r w:rsidRPr="0027216C">
        <w:rPr>
          <w:lang w:val="de-DE"/>
        </w:rPr>
        <w:t>Abt</w:t>
      </w:r>
      <w:r w:rsidR="00791BFE" w:rsidRPr="0027216C">
        <w:rPr>
          <w:lang w:val="de-DE"/>
        </w:rPr>
        <w:t>eilung</w:t>
      </w:r>
      <w:r w:rsidRPr="0027216C">
        <w:rPr>
          <w:lang w:val="de-DE"/>
        </w:rPr>
        <w:t xml:space="preserve"> für Angiologie</w:t>
      </w:r>
      <w:r w:rsidR="0068013A" w:rsidRPr="0027216C">
        <w:rPr>
          <w:lang w:val="de-DE"/>
        </w:rPr>
        <w:t>,</w:t>
      </w:r>
      <w:r w:rsidRPr="0027216C">
        <w:rPr>
          <w:lang w:val="de-DE"/>
        </w:rPr>
        <w:t xml:space="preserve"> Univ</w:t>
      </w:r>
      <w:r w:rsidR="00BF612E" w:rsidRPr="0027216C">
        <w:rPr>
          <w:lang w:val="de-DE"/>
        </w:rPr>
        <w:t>ersitätsk</w:t>
      </w:r>
      <w:r w:rsidRPr="0027216C">
        <w:rPr>
          <w:lang w:val="de-DE"/>
        </w:rPr>
        <w:t>linik Graz)</w:t>
      </w:r>
    </w:p>
    <w:p w14:paraId="0D137F0A" w14:textId="5A575102" w:rsidR="00F15518" w:rsidRPr="0027216C" w:rsidRDefault="00F15518" w:rsidP="00062C3E">
      <w:pPr>
        <w:pStyle w:val="ImpressumText"/>
        <w:ind w:left="11"/>
      </w:pPr>
      <w:r w:rsidRPr="0027216C">
        <w:t>Sonja Koller (</w:t>
      </w:r>
      <w:r w:rsidR="006D0C36" w:rsidRPr="006D0C36">
        <w:t>NÖ Landesgesundheitsagentur, Abteilung Strategie und Qualität Pflege, Vorstand Medizin und Pflege</w:t>
      </w:r>
      <w:r w:rsidRPr="0027216C">
        <w:t>)</w:t>
      </w:r>
    </w:p>
    <w:p w14:paraId="3FFD54AF" w14:textId="45317E7C" w:rsidR="00F15518" w:rsidRPr="0027216C" w:rsidRDefault="00F15518" w:rsidP="00062C3E">
      <w:pPr>
        <w:pStyle w:val="ImpressumText"/>
        <w:ind w:left="11"/>
      </w:pPr>
      <w:r w:rsidRPr="0027216C">
        <w:t>Gerlinde Luch (</w:t>
      </w:r>
      <w:r w:rsidR="00FC5A2C" w:rsidRPr="0027216C">
        <w:t xml:space="preserve">Fachärztin für </w:t>
      </w:r>
      <w:r w:rsidR="006D0C36" w:rsidRPr="006D0C36">
        <w:t>Orthopädie und orthopädische Chirurgie</w:t>
      </w:r>
      <w:r w:rsidR="00FC5A2C" w:rsidRPr="0027216C">
        <w:t xml:space="preserve">, Ärztin für Allgemeinmedizin, </w:t>
      </w:r>
      <w:proofErr w:type="spellStart"/>
      <w:r w:rsidR="006D0C36" w:rsidRPr="006D0C36">
        <w:t>Stv</w:t>
      </w:r>
      <w:proofErr w:type="spellEnd"/>
      <w:r w:rsidR="006D0C36" w:rsidRPr="006D0C36">
        <w:t xml:space="preserve">. Leiterin Medizinische Direktion </w:t>
      </w:r>
      <w:r w:rsidRPr="0027216C">
        <w:t>OÖ Gesundheitsholding)</w:t>
      </w:r>
    </w:p>
    <w:p w14:paraId="37F9F8F0" w14:textId="309A77ED" w:rsidR="00F15518" w:rsidRPr="0027216C" w:rsidRDefault="00F15518" w:rsidP="00062C3E">
      <w:pPr>
        <w:pStyle w:val="ImpressumText"/>
        <w:ind w:left="11"/>
      </w:pPr>
      <w:r w:rsidRPr="0027216C">
        <w:t xml:space="preserve">Alexander </w:t>
      </w:r>
      <w:proofErr w:type="spellStart"/>
      <w:r w:rsidRPr="0027216C">
        <w:t>Pötscher</w:t>
      </w:r>
      <w:proofErr w:type="spellEnd"/>
      <w:r w:rsidRPr="0027216C">
        <w:t xml:space="preserve"> (</w:t>
      </w:r>
      <w:r w:rsidR="001708D4">
        <w:t xml:space="preserve">niedergelassener </w:t>
      </w:r>
      <w:r w:rsidRPr="0027216C">
        <w:t>F</w:t>
      </w:r>
      <w:r w:rsidR="00062C3E" w:rsidRPr="0027216C">
        <w:t>acharzt</w:t>
      </w:r>
      <w:r w:rsidRPr="0027216C">
        <w:t xml:space="preserve"> für Allg</w:t>
      </w:r>
      <w:r w:rsidR="00062C3E" w:rsidRPr="0027216C">
        <w:t>emein</w:t>
      </w:r>
      <w:r w:rsidRPr="0027216C">
        <w:t>- und Viszeralchirurgie</w:t>
      </w:r>
      <w:r w:rsidR="00026302">
        <w:t>, Wundzentrum Wien 22</w:t>
      </w:r>
      <w:r w:rsidRPr="0027216C">
        <w:t>)</w:t>
      </w:r>
    </w:p>
    <w:p w14:paraId="774C78D7" w14:textId="2BFDA273" w:rsidR="00AB2425" w:rsidRPr="0027216C" w:rsidRDefault="00AB2425" w:rsidP="00062C3E">
      <w:pPr>
        <w:pStyle w:val="ImpressumText"/>
        <w:ind w:left="11"/>
      </w:pPr>
      <w:r w:rsidRPr="0027216C">
        <w:t>Edgar Wutscher</w:t>
      </w:r>
      <w:r w:rsidR="00BF612E" w:rsidRPr="0027216C">
        <w:t xml:space="preserve"> (Facharzt für Allgemein</w:t>
      </w:r>
      <w:r w:rsidR="008842BA" w:rsidRPr="0027216C">
        <w:t>-</w:t>
      </w:r>
      <w:r w:rsidR="00BF612E" w:rsidRPr="0027216C">
        <w:t xml:space="preserve"> und Familienmedizin</w:t>
      </w:r>
      <w:r w:rsidR="00026302">
        <w:t>, Ärztekammer Tirol</w:t>
      </w:r>
      <w:r w:rsidR="00BF612E" w:rsidRPr="0027216C">
        <w:t>)</w:t>
      </w:r>
    </w:p>
    <w:p w14:paraId="5CCC4A78" w14:textId="64AE7A83" w:rsidR="007E3FAA" w:rsidRPr="0027216C" w:rsidRDefault="00A42038" w:rsidP="00CF2306">
      <w:pPr>
        <w:pStyle w:val="ImpressumZwischenberschrift"/>
        <w:spacing w:before="240"/>
        <w:rPr>
          <w:b w:val="0"/>
          <w:bCs w:val="0"/>
        </w:rPr>
      </w:pPr>
      <w:r w:rsidRPr="0027216C">
        <w:t xml:space="preserve">Externes Review </w:t>
      </w:r>
      <w:r w:rsidRPr="0027216C">
        <w:rPr>
          <w:b w:val="0"/>
          <w:bCs w:val="0"/>
        </w:rPr>
        <w:t>(Reihung alphabetisch</w:t>
      </w:r>
      <w:r w:rsidR="00C75C20">
        <w:rPr>
          <w:b w:val="0"/>
          <w:bCs w:val="0"/>
        </w:rPr>
        <w:t>):</w:t>
      </w:r>
    </w:p>
    <w:p w14:paraId="3B783271" w14:textId="688D6209" w:rsidR="00323F9E" w:rsidRPr="0027216C" w:rsidRDefault="00323F9E" w:rsidP="00323F9E">
      <w:pPr>
        <w:pStyle w:val="ImpressumText"/>
      </w:pPr>
      <w:r w:rsidRPr="0027216C">
        <w:t>Barbara Binder (Österreichische Gesellschaft für Dermatologie und Venerologie)</w:t>
      </w:r>
    </w:p>
    <w:p w14:paraId="701C4821" w14:textId="2F137360" w:rsidR="00F02E5D" w:rsidRPr="0027216C" w:rsidRDefault="00F02E5D" w:rsidP="00F02E5D">
      <w:pPr>
        <w:pStyle w:val="ImpressumText"/>
      </w:pPr>
      <w:r w:rsidRPr="0027216C">
        <w:t>Johanna Dolcic (Österreichische Gesellschaft für Allgemein- und Familienmedizin)</w:t>
      </w:r>
    </w:p>
    <w:p w14:paraId="0D33FC42" w14:textId="173591D7" w:rsidR="00323F9E" w:rsidRPr="0027216C" w:rsidRDefault="00323F9E" w:rsidP="00323F9E">
      <w:pPr>
        <w:pStyle w:val="ImpressumText"/>
      </w:pPr>
      <w:r w:rsidRPr="0027216C">
        <w:t>Sandra Domnanich (MTD-Austria)</w:t>
      </w:r>
    </w:p>
    <w:p w14:paraId="126E4A3A" w14:textId="72CB1FAC" w:rsidR="00323F9E" w:rsidRPr="0027216C" w:rsidRDefault="00323F9E" w:rsidP="00323F9E">
      <w:pPr>
        <w:pStyle w:val="ImpressumText"/>
      </w:pPr>
      <w:r w:rsidRPr="0027216C">
        <w:t>Dagmar Fedra-Machacek (Österreichische Ärztekammer)</w:t>
      </w:r>
    </w:p>
    <w:p w14:paraId="2C224367" w14:textId="74D5EA74" w:rsidR="00323F9E" w:rsidRPr="0027216C" w:rsidRDefault="00323F9E" w:rsidP="00323F9E">
      <w:pPr>
        <w:pStyle w:val="ImpressumText"/>
      </w:pPr>
      <w:r w:rsidRPr="0027216C">
        <w:t xml:space="preserve">Bettina </w:t>
      </w:r>
      <w:proofErr w:type="spellStart"/>
      <w:r w:rsidRPr="0027216C">
        <w:t>Irrasch</w:t>
      </w:r>
      <w:proofErr w:type="spellEnd"/>
      <w:r w:rsidRPr="0027216C">
        <w:t xml:space="preserve"> (</w:t>
      </w:r>
      <w:r w:rsidR="007B34B1" w:rsidRPr="0027216C">
        <w:t>Pflegeanwaltschaft Kärnten</w:t>
      </w:r>
      <w:r w:rsidRPr="0027216C">
        <w:t>)</w:t>
      </w:r>
    </w:p>
    <w:p w14:paraId="0AD88646" w14:textId="77777777" w:rsidR="00F02E5D" w:rsidRPr="0027216C" w:rsidRDefault="00F02E5D" w:rsidP="00F02E5D">
      <w:pPr>
        <w:pStyle w:val="ImpressumText"/>
      </w:pPr>
      <w:r w:rsidRPr="0027216C">
        <w:t>Simone Knopf (Österreichischer Gesundheits- und Krankenpflegeverband)</w:t>
      </w:r>
    </w:p>
    <w:p w14:paraId="11B9ED64" w14:textId="7964D827" w:rsidR="00323F9E" w:rsidRPr="0027216C" w:rsidRDefault="00323F9E" w:rsidP="00323F9E">
      <w:pPr>
        <w:pStyle w:val="ImpressumText"/>
      </w:pPr>
      <w:r w:rsidRPr="0027216C">
        <w:t>Sonja Koller (Österreichische Gesellschaft für Wundbehandlung)</w:t>
      </w:r>
    </w:p>
    <w:p w14:paraId="13CEE580" w14:textId="03CCDD27" w:rsidR="00323F9E" w:rsidRPr="0027216C" w:rsidRDefault="00323F9E" w:rsidP="00323F9E">
      <w:pPr>
        <w:pStyle w:val="ImpressumText"/>
      </w:pPr>
      <w:r w:rsidRPr="0027216C">
        <w:lastRenderedPageBreak/>
        <w:t>Bernhard Lange-</w:t>
      </w:r>
      <w:proofErr w:type="spellStart"/>
      <w:r w:rsidRPr="0027216C">
        <w:t>Asschenfeldt</w:t>
      </w:r>
      <w:proofErr w:type="spellEnd"/>
      <w:r w:rsidRPr="0027216C">
        <w:t xml:space="preserve"> (Österreichische Gesellschaft für Dermatologie und Venerologie)</w:t>
      </w:r>
    </w:p>
    <w:p w14:paraId="59D2256E" w14:textId="2E59391B" w:rsidR="00323F9E" w:rsidRPr="0027216C" w:rsidRDefault="00323F9E" w:rsidP="00323F9E">
      <w:pPr>
        <w:pStyle w:val="ImpressumText"/>
      </w:pPr>
      <w:r w:rsidRPr="0027216C">
        <w:t>Tina Reisner (Österreichischer Gesundheits- und Krankenpflegeverband)</w:t>
      </w:r>
    </w:p>
    <w:p w14:paraId="306BE8CA" w14:textId="3E353F50" w:rsidR="00323F9E" w:rsidRPr="0027216C" w:rsidRDefault="00323F9E" w:rsidP="00323F9E">
      <w:pPr>
        <w:pStyle w:val="ImpressumText"/>
      </w:pPr>
      <w:r w:rsidRPr="0027216C">
        <w:t xml:space="preserve">Gerald </w:t>
      </w:r>
      <w:proofErr w:type="spellStart"/>
      <w:r w:rsidRPr="0027216C">
        <w:t>Zöch</w:t>
      </w:r>
      <w:proofErr w:type="spellEnd"/>
      <w:r w:rsidRPr="0027216C">
        <w:t xml:space="preserve"> (Österreichische Gesellschaft der Chirurgie)</w:t>
      </w:r>
    </w:p>
    <w:p w14:paraId="709A709A" w14:textId="502ED9F2" w:rsidR="007E3FAA" w:rsidRPr="0027216C" w:rsidRDefault="00A42038" w:rsidP="00323F9E">
      <w:pPr>
        <w:pStyle w:val="ImpressumZwischenberschrift"/>
        <w:spacing w:before="360"/>
        <w:ind w:left="11" w:firstLine="0"/>
      </w:pPr>
      <w:r w:rsidRPr="0027216C">
        <w:t>Zitiervorschlag:</w:t>
      </w:r>
    </w:p>
    <w:p w14:paraId="6FDEBA54" w14:textId="69361C09" w:rsidR="007E3FAA" w:rsidRPr="0027216C" w:rsidRDefault="00A42038">
      <w:pPr>
        <w:pStyle w:val="ImpressumText"/>
      </w:pPr>
      <w:r w:rsidRPr="0027216C">
        <w:t>BM</w:t>
      </w:r>
      <w:r w:rsidR="00406A19" w:rsidRPr="0027216C">
        <w:t>A</w:t>
      </w:r>
      <w:r w:rsidRPr="0027216C">
        <w:t>SGPK (</w:t>
      </w:r>
      <w:r w:rsidRPr="00153C32">
        <w:rPr>
          <w:highlight w:val="green"/>
        </w:rPr>
        <w:t>XXXX</w:t>
      </w:r>
      <w:r w:rsidRPr="0027216C">
        <w:t xml:space="preserve">): Qualitätsstandard Integrierte Versorgung </w:t>
      </w:r>
      <w:r w:rsidR="00694A07">
        <w:t>C</w:t>
      </w:r>
      <w:r w:rsidRPr="0027216C">
        <w:t xml:space="preserve">hronische Wunden. Bundesministerium für </w:t>
      </w:r>
      <w:r w:rsidR="00BD4FA6">
        <w:t xml:space="preserve">Arbeit, </w:t>
      </w:r>
      <w:r w:rsidRPr="0027216C">
        <w:t>Soziales, Gesundheit, Pflege und Konsumentenschutz, Wien</w:t>
      </w:r>
    </w:p>
    <w:p w14:paraId="4E9F286B" w14:textId="77777777" w:rsidR="007E3FAA" w:rsidRPr="0027216C" w:rsidRDefault="00A42038">
      <w:pPr>
        <w:pStyle w:val="ImpressumZwischenberschrift"/>
        <w:spacing w:before="360"/>
      </w:pPr>
      <w:r w:rsidRPr="0027216C">
        <w:t>Herausgeber, Medieninhaber und Hersteller:</w:t>
      </w:r>
    </w:p>
    <w:p w14:paraId="4ADE6D1C" w14:textId="0897CAFC" w:rsidR="007E3FAA" w:rsidRPr="0027216C" w:rsidRDefault="00A42038">
      <w:pPr>
        <w:pStyle w:val="ImpressumText"/>
      </w:pPr>
      <w:r w:rsidRPr="0027216C">
        <w:t xml:space="preserve">Bundesministerium für </w:t>
      </w:r>
      <w:r w:rsidR="00921467">
        <w:t xml:space="preserve">Arbeit, </w:t>
      </w:r>
      <w:r w:rsidRPr="0027216C">
        <w:t>Soziales, Gesundheit, Pflege und Konsumentenschutz</w:t>
      </w:r>
    </w:p>
    <w:p w14:paraId="520C95A6" w14:textId="77777777" w:rsidR="007E3FAA" w:rsidRPr="0027216C" w:rsidRDefault="00A42038">
      <w:pPr>
        <w:pStyle w:val="ImpressumText"/>
      </w:pPr>
      <w:r w:rsidRPr="0027216C">
        <w:t>Geschäftsführung der Bundesgesundheitsagentur</w:t>
      </w:r>
    </w:p>
    <w:p w14:paraId="47D5F046" w14:textId="77777777" w:rsidR="007E3FAA" w:rsidRPr="0027216C" w:rsidRDefault="00A42038">
      <w:pPr>
        <w:pStyle w:val="ImpressumText"/>
      </w:pPr>
      <w:r w:rsidRPr="0027216C">
        <w:t>Stubenring 1, 1010 Wien</w:t>
      </w:r>
    </w:p>
    <w:p w14:paraId="756F87A4" w14:textId="77777777" w:rsidR="007E3FAA" w:rsidRPr="0027216C" w:rsidRDefault="00A42038">
      <w:pPr>
        <w:pStyle w:val="ImpressumZwischenberschrift"/>
        <w:spacing w:before="360"/>
      </w:pPr>
      <w:r w:rsidRPr="0027216C">
        <w:t>Für den Inhalt verantwortlich:</w:t>
      </w:r>
    </w:p>
    <w:p w14:paraId="52B39317" w14:textId="29AA8652" w:rsidR="007E3FAA" w:rsidRPr="0027216C" w:rsidRDefault="00A42038">
      <w:pPr>
        <w:pStyle w:val="ImpressumText"/>
      </w:pPr>
      <w:r w:rsidRPr="0027216C">
        <w:t xml:space="preserve">Bundesministerium für </w:t>
      </w:r>
      <w:r w:rsidR="00921467">
        <w:t xml:space="preserve">Arbeit, </w:t>
      </w:r>
      <w:r w:rsidRPr="0027216C">
        <w:t>Soziales, Gesundheit, Pflege und Konsumentenschutz,</w:t>
      </w:r>
    </w:p>
    <w:p w14:paraId="4E1EC494" w14:textId="2390B584" w:rsidR="007E3FAA" w:rsidRPr="0027216C" w:rsidRDefault="00A42038">
      <w:pPr>
        <w:pStyle w:val="ImpressumText"/>
      </w:pPr>
      <w:r w:rsidRPr="0027216C">
        <w:t>vertreten durch SL Dr.</w:t>
      </w:r>
      <w:r w:rsidRPr="0027216C">
        <w:rPr>
          <w:vertAlign w:val="superscript"/>
        </w:rPr>
        <w:t>in</w:t>
      </w:r>
      <w:r w:rsidRPr="0027216C">
        <w:t xml:space="preserve"> Reich (BM</w:t>
      </w:r>
      <w:r w:rsidR="00F02E5D">
        <w:t>A</w:t>
      </w:r>
      <w:r w:rsidRPr="0027216C">
        <w:t>SGPK, Sektion VII)</w:t>
      </w:r>
    </w:p>
    <w:p w14:paraId="0D6838D6" w14:textId="77777777" w:rsidR="007E3FAA" w:rsidRPr="0027216C" w:rsidRDefault="00A42038">
      <w:pPr>
        <w:pStyle w:val="ImpressumZwischenberschrift"/>
        <w:spacing w:before="360"/>
      </w:pPr>
      <w:r w:rsidRPr="0027216C">
        <w:t>Erscheinungsdatum:</w:t>
      </w:r>
    </w:p>
    <w:sdt>
      <w:sdtPr>
        <w:rPr>
          <w:highlight w:val="green"/>
        </w:rPr>
        <w:id w:val="422617449"/>
        <w:placeholder>
          <w:docPart w:val="32242B522D164D47B54FB4381FC60FCA"/>
        </w:placeholder>
        <w:date>
          <w:dateFormat w:val="MMMM yyyy"/>
          <w:lid w:val="de-AT"/>
          <w:storeMappedDataAs w:val="dateTime"/>
          <w:calendar w:val="gregorian"/>
        </w:date>
      </w:sdtPr>
      <w:sdtEndPr/>
      <w:sdtContent>
        <w:p w14:paraId="72591FC3" w14:textId="77777777" w:rsidR="007E3FAA" w:rsidRPr="0027216C" w:rsidRDefault="00A42038">
          <w:pPr>
            <w:pStyle w:val="ImpressumText"/>
          </w:pPr>
          <w:r w:rsidRPr="00CF2306">
            <w:rPr>
              <w:color w:val="000000" w:themeColor="background2"/>
              <w:highlight w:val="green"/>
            </w:rPr>
            <w:t xml:space="preserve">Monat Jahr </w:t>
          </w:r>
        </w:p>
      </w:sdtContent>
    </w:sdt>
    <w:p w14:paraId="60247A9E" w14:textId="77777777" w:rsidR="007E3FAA" w:rsidRPr="0027216C" w:rsidRDefault="00A42038">
      <w:pPr>
        <w:pStyle w:val="SchmutztitelAuftraggeber"/>
        <w:pBdr>
          <w:top w:val="single" w:sz="4" w:space="1" w:color="auto"/>
          <w:left w:val="single" w:sz="4" w:space="4" w:color="auto"/>
          <w:bottom w:val="single" w:sz="4" w:space="1" w:color="auto"/>
          <w:right w:val="single" w:sz="4" w:space="0" w:color="auto"/>
        </w:pBdr>
        <w:spacing w:before="240"/>
        <w:ind w:left="113"/>
      </w:pPr>
      <w:r w:rsidRPr="0027216C">
        <w:rPr>
          <w:rFonts w:ascii="Calibri" w:hAnsi="Calibri"/>
          <w:b/>
          <w:sz w:val="20"/>
          <w:szCs w:val="20"/>
        </w:rPr>
        <w:t>Allgemeiner Hinweis:</w:t>
      </w:r>
      <w:r w:rsidRPr="0027216C">
        <w:rPr>
          <w:rFonts w:ascii="Calibri" w:hAnsi="Calibri"/>
        </w:rPr>
        <w:t xml:space="preserve"> Medizinisches Wissen unterliegt einem fortwährenden Entwicklungsprozess. Alle </w:t>
      </w:r>
      <w:r w:rsidRPr="0027216C">
        <w:rPr>
          <w:rFonts w:ascii="Calibri" w:hAnsi="Calibri"/>
        </w:rPr>
        <w:br/>
        <w:t xml:space="preserve">Angaben in diesem Qualitätsstandard, insbesondere zu diagnostischen und therapeutischen Empfehlungen, </w:t>
      </w:r>
      <w:r w:rsidRPr="0027216C">
        <w:rPr>
          <w:rFonts w:ascii="Calibri" w:hAnsi="Calibri"/>
        </w:rPr>
        <w:br/>
        <w:t>können somit nur den gültigen veröffentlichten Empfehlungen/Leitlinien der jeweils zuständigen medizinischen Fachgesellschaft(en) zum Zeitpunkt der Erstellung dieses Qualitätsstandards entsprechen. Ein Abweichen der im Qualitätsstandard enthaltenen Empfehlungen ist in begründeten Einzelfällen möglich bzw. erforderlich.</w:t>
      </w:r>
    </w:p>
    <w:p w14:paraId="7280E61F" w14:textId="77777777" w:rsidR="007E3FAA" w:rsidRPr="0027216C" w:rsidRDefault="007E3FAA">
      <w:pPr>
        <w:pStyle w:val="ImpressumText"/>
        <w:sectPr w:rsidR="007E3FAA" w:rsidRPr="0027216C">
          <w:headerReference w:type="first" r:id="rId9"/>
          <w:footerReference w:type="first" r:id="rId10"/>
          <w:type w:val="evenPage"/>
          <w:pgSz w:w="11907" w:h="16840" w:code="9"/>
          <w:pgMar w:top="2268" w:right="1701" w:bottom="2268" w:left="1701" w:header="567" w:footer="1021" w:gutter="0"/>
          <w:paperSrc w:first="7" w:other="7"/>
          <w:cols w:space="720"/>
          <w:titlePg/>
          <w:docGrid w:linePitch="299"/>
        </w:sectPr>
      </w:pPr>
    </w:p>
    <w:p w14:paraId="56093496" w14:textId="77777777" w:rsidR="007E3FAA" w:rsidRPr="0027216C" w:rsidRDefault="00A42038">
      <w:pPr>
        <w:pStyle w:val="berschrift"/>
        <w:spacing w:after="120"/>
      </w:pPr>
      <w:bookmarkStart w:id="15" w:name="_Toc79481109"/>
      <w:bookmarkStart w:id="16" w:name="_Toc167430844"/>
      <w:bookmarkStart w:id="17" w:name="_Toc174441602"/>
      <w:bookmarkStart w:id="18" w:name="_Toc211342047"/>
      <w:bookmarkStart w:id="19" w:name="_Hlk108424538"/>
      <w:bookmarkStart w:id="20" w:name="_Hlk108424301"/>
      <w:bookmarkStart w:id="21" w:name="_Toc158040219"/>
      <w:bookmarkStart w:id="22" w:name="_Toc159508428"/>
      <w:r w:rsidRPr="0027216C">
        <w:lastRenderedPageBreak/>
        <w:t>Empfehlungen</w:t>
      </w:r>
      <w:bookmarkEnd w:id="15"/>
      <w:bookmarkEnd w:id="16"/>
      <w:bookmarkEnd w:id="17"/>
      <w:bookmarkEnd w:id="18"/>
    </w:p>
    <w:bookmarkEnd w:id="19"/>
    <w:p w14:paraId="3A334C1D" w14:textId="77777777" w:rsidR="007E3FAA" w:rsidRPr="0027216C" w:rsidRDefault="007E3FAA">
      <w:pPr>
        <w:spacing w:before="120"/>
        <w:rPr>
          <w:rFonts w:eastAsia="Arial" w:cs="Lucida Sans Unicode"/>
          <w:b/>
          <w:bCs/>
          <w:color w:val="2F7C91"/>
          <w:szCs w:val="18"/>
        </w:rPr>
        <w:sectPr w:rsidR="007E3FAA" w:rsidRPr="0027216C">
          <w:footerReference w:type="even" r:id="rId11"/>
          <w:footerReference w:type="default" r:id="rId12"/>
          <w:type w:val="oddPage"/>
          <w:pgSz w:w="11907" w:h="16840" w:code="9"/>
          <w:pgMar w:top="1361" w:right="1758" w:bottom="2211" w:left="1758" w:header="709" w:footer="1021" w:gutter="0"/>
          <w:paperSrc w:first="3" w:other="3"/>
          <w:pgNumType w:fmt="upperRoman" w:start="3"/>
          <w:cols w:space="720"/>
          <w:formProt w:val="0"/>
        </w:sectPr>
      </w:pPr>
    </w:p>
    <w:p w14:paraId="5CFBC468" w14:textId="77777777" w:rsidR="007E3FAA" w:rsidRPr="0027216C" w:rsidRDefault="00A42038" w:rsidP="00DC6AAD">
      <w:pPr>
        <w:spacing w:before="120"/>
        <w:jc w:val="left"/>
        <w:rPr>
          <w:rFonts w:eastAsia="Arial" w:cs="Lucida Sans Unicode"/>
          <w:b/>
          <w:bCs/>
          <w:color w:val="32466E"/>
          <w:szCs w:val="18"/>
        </w:rPr>
      </w:pPr>
      <w:r w:rsidRPr="0027216C">
        <w:rPr>
          <w:rFonts w:eastAsia="Arial" w:cs="Lucida Sans Unicode"/>
          <w:b/>
          <w:bCs/>
          <w:color w:val="32466E"/>
          <w:szCs w:val="18"/>
        </w:rPr>
        <w:t>Empfehlung 1:</w:t>
      </w:r>
    </w:p>
    <w:p w14:paraId="41AABBBF" w14:textId="77777777" w:rsidR="007E3FAA" w:rsidRPr="0027216C" w:rsidRDefault="00A42038" w:rsidP="00DC6AAD">
      <w:pPr>
        <w:pBdr>
          <w:bottom w:val="single" w:sz="12" w:space="1" w:color="auto"/>
        </w:pBdr>
        <w:spacing w:before="0"/>
        <w:jc w:val="left"/>
        <w:rPr>
          <w:rFonts w:eastAsia="Arial" w:cs="Lucida Sans Unicode"/>
          <w:b/>
          <w:bCs/>
          <w:color w:val="32466E"/>
          <w:szCs w:val="18"/>
        </w:rPr>
      </w:pPr>
      <w:r w:rsidRPr="0027216C">
        <w:rPr>
          <w:rFonts w:eastAsia="Arial" w:cs="Lucida Sans Unicode"/>
          <w:b/>
          <w:bCs/>
          <w:color w:val="32466E"/>
          <w:szCs w:val="18"/>
        </w:rPr>
        <w:t>Prävention und Früherkennung</w:t>
      </w:r>
    </w:p>
    <w:p w14:paraId="4DF172CA" w14:textId="3184AF62" w:rsidR="007E3FAA" w:rsidRPr="001F7282" w:rsidRDefault="00A42038">
      <w:pPr>
        <w:spacing w:before="80"/>
        <w:rPr>
          <w:lang w:bidi="ar-SA"/>
        </w:rPr>
      </w:pPr>
      <w:r w:rsidRPr="001F7282">
        <w:rPr>
          <w:noProof/>
          <w:lang w:eastAsia="de-AT" w:bidi="ar-SA"/>
        </w:rPr>
        <w:drawing>
          <wp:anchor distT="0" distB="0" distL="114300" distR="114300" simplePos="0" relativeHeight="251746304" behindDoc="0" locked="0" layoutInCell="1" allowOverlap="1" wp14:anchorId="02369168" wp14:editId="0274F48A">
            <wp:simplePos x="0" y="0"/>
            <wp:positionH relativeFrom="column">
              <wp:posOffset>29210</wp:posOffset>
            </wp:positionH>
            <wp:positionV relativeFrom="page">
              <wp:posOffset>1816735</wp:posOffset>
            </wp:positionV>
            <wp:extent cx="559435" cy="480060"/>
            <wp:effectExtent l="0" t="0" r="0" b="0"/>
            <wp:wrapSquare wrapText="bothSides"/>
            <wp:docPr id="154048846"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846" name="Grafik 1" descr="Ein Bild, das Schwarz, Dunkelheit enthält.&#10;&#10;Automatisch generierte Beschreibung"/>
                    <pic:cNvPicPr/>
                  </pic:nvPicPr>
                  <pic:blipFill rotWithShape="1">
                    <a:blip r:embed="rId13" cstate="print">
                      <a:extLst>
                        <a:ext uri="{28A0092B-C50C-407E-A947-70E740481C1C}">
                          <a14:useLocalDpi xmlns:a14="http://schemas.microsoft.com/office/drawing/2010/main" val="0"/>
                        </a:ext>
                      </a:extLst>
                    </a:blip>
                    <a:srcRect b="14105"/>
                    <a:stretch/>
                  </pic:blipFill>
                  <pic:spPr bwMode="auto">
                    <a:xfrm>
                      <a:off x="0" y="0"/>
                      <a:ext cx="559435"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F7282">
        <w:rPr>
          <w:lang w:bidi="ar-SA"/>
        </w:rPr>
        <w:t>Bei vorhandenen Risikofaktoren für die Entstehung einer chronischen Wunde (Grunderkrankungen, Immobilität etc.) sollen Patientinnen</w:t>
      </w:r>
      <w:r w:rsidR="002B194B" w:rsidRPr="001F7282">
        <w:rPr>
          <w:lang w:bidi="ar-SA"/>
        </w:rPr>
        <w:t xml:space="preserve"> und Patienten</w:t>
      </w:r>
      <w:r w:rsidRPr="001F7282">
        <w:rPr>
          <w:lang w:bidi="ar-SA"/>
        </w:rPr>
        <w:t xml:space="preserve"> </w:t>
      </w:r>
      <w:r w:rsidR="0030571B" w:rsidRPr="001F7282">
        <w:rPr>
          <w:lang w:bidi="ar-SA"/>
        </w:rPr>
        <w:t xml:space="preserve">niederschwellig von den beteiligten GDA </w:t>
      </w:r>
      <w:r w:rsidRPr="001F7282">
        <w:rPr>
          <w:lang w:bidi="ar-SA"/>
        </w:rPr>
        <w:t>eine a</w:t>
      </w:r>
      <w:r w:rsidR="00054B24" w:rsidRPr="001F7282">
        <w:rPr>
          <w:lang w:bidi="ar-SA"/>
        </w:rPr>
        <w:t>n</w:t>
      </w:r>
      <w:r w:rsidRPr="001F7282">
        <w:rPr>
          <w:lang w:bidi="ar-SA"/>
        </w:rPr>
        <w:t xml:space="preserve"> ihre Bedürfnisse angepasste Information und Beratung erhalten bzw. sollen weitere Maßnahmen zur Prävention und Früherkennung (Screening, Kompressionstherapie etc.) gesetzt werden.</w:t>
      </w:r>
    </w:p>
    <w:p w14:paraId="42CD9882" w14:textId="77777777" w:rsidR="007E3FAA" w:rsidRPr="0027216C" w:rsidRDefault="00A42038" w:rsidP="00DC6AAD">
      <w:pPr>
        <w:spacing w:before="360"/>
        <w:jc w:val="left"/>
        <w:rPr>
          <w:rFonts w:eastAsia="Arial" w:cs="Lucida Sans Unicode"/>
          <w:b/>
          <w:bCs/>
          <w:color w:val="32466E"/>
          <w:szCs w:val="18"/>
        </w:rPr>
      </w:pPr>
      <w:r w:rsidRPr="0027216C">
        <w:rPr>
          <w:rFonts w:eastAsia="Arial" w:cs="Lucida Sans Unicode"/>
          <w:b/>
          <w:bCs/>
          <w:color w:val="32466E"/>
          <w:szCs w:val="18"/>
        </w:rPr>
        <w:t>Empfehlung 2:</w:t>
      </w:r>
    </w:p>
    <w:p w14:paraId="646086FF" w14:textId="77777777" w:rsidR="007E3FAA" w:rsidRPr="0027216C" w:rsidRDefault="00A42038" w:rsidP="00DC6AAD">
      <w:pPr>
        <w:pBdr>
          <w:bottom w:val="single" w:sz="12" w:space="1" w:color="auto"/>
        </w:pBdr>
        <w:suppressAutoHyphens/>
        <w:spacing w:before="0" w:after="60"/>
        <w:ind w:right="346"/>
        <w:jc w:val="left"/>
        <w:rPr>
          <w:rFonts w:eastAsia="Arial" w:cs="Lucida Sans Unicode"/>
          <w:b/>
          <w:bCs/>
          <w:color w:val="32466E"/>
          <w:szCs w:val="18"/>
        </w:rPr>
      </w:pPr>
      <w:r w:rsidRPr="0027216C">
        <w:rPr>
          <w:rFonts w:eastAsia="Arial" w:cs="Lucida Sans Unicode"/>
          <w:b/>
          <w:bCs/>
          <w:color w:val="32466E"/>
          <w:szCs w:val="18"/>
        </w:rPr>
        <w:t>Multiprofessionelle Anamnese</w:t>
      </w:r>
    </w:p>
    <w:p w14:paraId="6627C152" w14:textId="0DBABD3C" w:rsidR="007E3FAA" w:rsidRPr="0027216C" w:rsidRDefault="00A42038" w:rsidP="001F7282">
      <w:pPr>
        <w:pStyle w:val="Standard0"/>
        <w:spacing w:line="240" w:lineRule="auto"/>
        <w:rPr>
          <w:rFonts w:cs="Lucida Sans Unicode"/>
        </w:rPr>
      </w:pPr>
      <w:r w:rsidRPr="0027216C">
        <w:rPr>
          <w:noProof/>
          <w:lang w:eastAsia="de-AT" w:bidi="ar-SA"/>
        </w:rPr>
        <w:drawing>
          <wp:anchor distT="0" distB="0" distL="114300" distR="114300" simplePos="0" relativeHeight="251758592" behindDoc="1" locked="0" layoutInCell="1" allowOverlap="1" wp14:anchorId="5BD5F6A0" wp14:editId="3A633435">
            <wp:simplePos x="0" y="0"/>
            <wp:positionH relativeFrom="margin">
              <wp:align>left</wp:align>
            </wp:positionH>
            <wp:positionV relativeFrom="paragraph">
              <wp:posOffset>92059</wp:posOffset>
            </wp:positionV>
            <wp:extent cx="586740" cy="543560"/>
            <wp:effectExtent l="0" t="0" r="3810" b="8890"/>
            <wp:wrapTight wrapText="bothSides">
              <wp:wrapPolygon edited="0">
                <wp:start x="0" y="0"/>
                <wp:lineTo x="0" y="21196"/>
                <wp:lineTo x="21039" y="21196"/>
                <wp:lineTo x="21039" y="0"/>
                <wp:lineTo x="0" y="0"/>
              </wp:wrapPolygon>
            </wp:wrapTight>
            <wp:docPr id="1568762150" name="Grafik 1568762150" descr="Symbolbild Standardisierte Doku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fik 82" descr="Symbolbild Standardisierte Dokument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6740" cy="543560"/>
                    </a:xfrm>
                    <a:prstGeom prst="rect">
                      <a:avLst/>
                    </a:prstGeom>
                  </pic:spPr>
                </pic:pic>
              </a:graphicData>
            </a:graphic>
            <wp14:sizeRelH relativeFrom="page">
              <wp14:pctWidth>0</wp14:pctWidth>
            </wp14:sizeRelH>
            <wp14:sizeRelV relativeFrom="page">
              <wp14:pctHeight>0</wp14:pctHeight>
            </wp14:sizeRelV>
          </wp:anchor>
        </w:drawing>
      </w:r>
      <w:r w:rsidRPr="0027216C">
        <w:rPr>
          <w:rFonts w:ascii="Calibri" w:eastAsia="Calibri" w:hAnsi="Calibri" w:cs="Times New Roman"/>
          <w:kern w:val="2"/>
          <w:sz w:val="22"/>
          <w:lang w:val="de-DE" w:bidi="ar-SA"/>
          <w14:ligatures w14:val="standardContextual"/>
        </w:rPr>
        <w:t>Die</w:t>
      </w:r>
      <w:r w:rsidR="00760ECE" w:rsidRPr="0027216C">
        <w:rPr>
          <w:rFonts w:cs="Lucida Sans Unicode"/>
        </w:rPr>
        <w:t xml:space="preserve"> Anamnese soll so früh wie möglich multiprofessionell erfolgen, damit neben der medizinischen und</w:t>
      </w:r>
      <w:r w:rsidR="00760ECE" w:rsidRPr="0027216C">
        <w:rPr>
          <w:rFonts w:cs="Lucida Sans Unicode"/>
          <w:color w:val="FF0000"/>
        </w:rPr>
        <w:t xml:space="preserve"> </w:t>
      </w:r>
      <w:r w:rsidR="00760ECE" w:rsidRPr="0027216C">
        <w:rPr>
          <w:rFonts w:cs="Lucida Sans Unicode"/>
        </w:rPr>
        <w:t>pflegerischen Anamnese auch andere für die Versorgung erforderliche Aspekte berücksichtigt werden</w:t>
      </w:r>
      <w:r w:rsidR="0079586C">
        <w:rPr>
          <w:rFonts w:cs="Lucida Sans Unicode"/>
        </w:rPr>
        <w:t xml:space="preserve"> können</w:t>
      </w:r>
      <w:r w:rsidR="00760ECE" w:rsidRPr="0027216C">
        <w:rPr>
          <w:rFonts w:cs="Lucida Sans Unicode"/>
        </w:rPr>
        <w:t xml:space="preserve">. Dabei sollen beispielsweise Reaktionen auf bisherige Wundbehandlungen, Einschränkungen, </w:t>
      </w:r>
      <w:r w:rsidR="003E123E">
        <w:rPr>
          <w:rFonts w:cs="Lucida Sans Unicode"/>
        </w:rPr>
        <w:t xml:space="preserve">die </w:t>
      </w:r>
      <w:r w:rsidR="00760ECE" w:rsidRPr="0027216C">
        <w:rPr>
          <w:rFonts w:cs="Lucida Sans Unicode"/>
        </w:rPr>
        <w:t xml:space="preserve">Lebens- und Versorgungssituation, ein </w:t>
      </w:r>
      <w:proofErr w:type="spellStart"/>
      <w:r w:rsidR="00760ECE" w:rsidRPr="0027216C">
        <w:rPr>
          <w:rFonts w:cs="Lucida Sans Unicode"/>
        </w:rPr>
        <w:t>Bedarfsassessment</w:t>
      </w:r>
      <w:proofErr w:type="spellEnd"/>
      <w:r w:rsidR="00760ECE" w:rsidRPr="0027216C">
        <w:rPr>
          <w:rFonts w:cs="Lucida Sans Unicode"/>
        </w:rPr>
        <w:t xml:space="preserve"> sowie der Ernährungsstatus erhoben werden.</w:t>
      </w:r>
    </w:p>
    <w:p w14:paraId="4297B562" w14:textId="53EFBC31" w:rsidR="001F7282" w:rsidRDefault="00A42038" w:rsidP="00DC6AAD">
      <w:pPr>
        <w:pBdr>
          <w:bottom w:val="single" w:sz="12" w:space="1" w:color="auto"/>
        </w:pBdr>
        <w:spacing w:before="360"/>
        <w:jc w:val="left"/>
        <w:rPr>
          <w:rFonts w:eastAsia="Arial" w:cs="Lucida Sans Unicode"/>
          <w:b/>
          <w:bCs/>
          <w:color w:val="32466E"/>
          <w:szCs w:val="18"/>
        </w:rPr>
      </w:pPr>
      <w:r w:rsidRPr="001F7282">
        <w:rPr>
          <w:rFonts w:eastAsia="Arial" w:cs="Lucida Sans Unicode"/>
          <w:b/>
          <w:bCs/>
          <w:color w:val="32466E"/>
          <w:szCs w:val="18"/>
        </w:rPr>
        <w:t>Empfehlung 3:</w:t>
      </w:r>
    </w:p>
    <w:p w14:paraId="4022E482" w14:textId="36890BD5" w:rsidR="007E3FAA" w:rsidRPr="001F7282" w:rsidRDefault="00AA2A0A" w:rsidP="00DC6AAD">
      <w:pPr>
        <w:pBdr>
          <w:bottom w:val="single" w:sz="12" w:space="1" w:color="auto"/>
        </w:pBdr>
        <w:spacing w:before="0"/>
        <w:jc w:val="left"/>
        <w:rPr>
          <w:rFonts w:eastAsia="Arial" w:cs="Lucida Sans Unicode"/>
          <w:b/>
          <w:bCs/>
          <w:color w:val="32466E"/>
          <w:szCs w:val="18"/>
        </w:rPr>
      </w:pPr>
      <w:r w:rsidRPr="001F7282">
        <w:rPr>
          <w:rFonts w:eastAsia="Arial" w:cs="Lucida Sans Unicode"/>
          <w:b/>
          <w:bCs/>
          <w:color w:val="32466E"/>
          <w:szCs w:val="18"/>
        </w:rPr>
        <w:t>Leitlinienkonforme Diagnose, Ursachenbestimmung und Therapie</w:t>
      </w:r>
    </w:p>
    <w:p w14:paraId="15A52BB1" w14:textId="5605E415" w:rsidR="007E3FAA" w:rsidRPr="0027216C" w:rsidRDefault="00A42038">
      <w:pPr>
        <w:spacing w:before="0"/>
        <w:rPr>
          <w:lang w:bidi="ar-SA"/>
        </w:rPr>
      </w:pPr>
      <w:r w:rsidRPr="0027216C">
        <w:rPr>
          <w:noProof/>
          <w:lang w:eastAsia="de-AT" w:bidi="ar-SA"/>
        </w:rPr>
        <w:drawing>
          <wp:anchor distT="0" distB="0" distL="114300" distR="114300" simplePos="0" relativeHeight="251723776" behindDoc="1" locked="0" layoutInCell="1" allowOverlap="1" wp14:anchorId="0AD6B085" wp14:editId="693E9AEE">
            <wp:simplePos x="0" y="0"/>
            <wp:positionH relativeFrom="column">
              <wp:align>left</wp:align>
            </wp:positionH>
            <wp:positionV relativeFrom="paragraph">
              <wp:posOffset>139065</wp:posOffset>
            </wp:positionV>
            <wp:extent cx="536400" cy="468000"/>
            <wp:effectExtent l="0" t="0" r="0" b="8255"/>
            <wp:wrapTight wrapText="bothSides">
              <wp:wrapPolygon edited="0">
                <wp:start x="0" y="0"/>
                <wp:lineTo x="0" y="21102"/>
                <wp:lineTo x="20730" y="21102"/>
                <wp:lineTo x="20730" y="0"/>
                <wp:lineTo x="0" y="0"/>
              </wp:wrapPolygon>
            </wp:wrapTight>
            <wp:docPr id="68" name="Grafik 68" descr="Dieses Bild symbolisier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Grafik 68" descr="Dieses Bild symbolisiert Informa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6400" cy="468000"/>
                    </a:xfrm>
                    <a:prstGeom prst="rect">
                      <a:avLst/>
                    </a:prstGeom>
                  </pic:spPr>
                </pic:pic>
              </a:graphicData>
            </a:graphic>
            <wp14:sizeRelH relativeFrom="page">
              <wp14:pctWidth>0</wp14:pctWidth>
            </wp14:sizeRelH>
            <wp14:sizeRelV relativeFrom="page">
              <wp14:pctHeight>0</wp14:pctHeight>
            </wp14:sizeRelV>
          </wp:anchor>
        </w:drawing>
      </w:r>
      <w:r w:rsidRPr="0027216C">
        <w:rPr>
          <w:lang w:bidi="ar-SA"/>
        </w:rPr>
        <w:t>Für das Management einer chronischen Wunde soll die zugrun</w:t>
      </w:r>
      <w:r w:rsidR="002763BF">
        <w:rPr>
          <w:lang w:bidi="ar-SA"/>
        </w:rPr>
        <w:softHyphen/>
      </w:r>
      <w:r w:rsidRPr="0027216C">
        <w:rPr>
          <w:lang w:bidi="ar-SA"/>
        </w:rPr>
        <w:t>de</w:t>
      </w:r>
      <w:r w:rsidR="0079586C">
        <w:rPr>
          <w:lang w:bidi="ar-SA"/>
        </w:rPr>
        <w:t xml:space="preserve"> </w:t>
      </w:r>
      <w:r w:rsidRPr="0027216C">
        <w:rPr>
          <w:lang w:bidi="ar-SA"/>
        </w:rPr>
        <w:t>liegende Ursache differenzialdiagnostisch abgeklärt und ei</w:t>
      </w:r>
      <w:r w:rsidR="002763BF">
        <w:rPr>
          <w:lang w:bidi="ar-SA"/>
        </w:rPr>
        <w:softHyphen/>
      </w:r>
      <w:r w:rsidRPr="0027216C">
        <w:rPr>
          <w:lang w:bidi="ar-SA"/>
        </w:rPr>
        <w:t>ne entsprechende Behandlung veranlasst werden. Die Diagnostik und Therapie chronischer Wunden, deren Vorstufen sowie der zugrunde</w:t>
      </w:r>
      <w:r w:rsidR="00DC6AAD">
        <w:rPr>
          <w:lang w:bidi="ar-SA"/>
        </w:rPr>
        <w:t xml:space="preserve"> </w:t>
      </w:r>
      <w:r w:rsidRPr="0027216C">
        <w:rPr>
          <w:lang w:bidi="ar-SA"/>
        </w:rPr>
        <w:t xml:space="preserve">liegenden Erkrankungen sollen leitlinienkonform erfolgen. Bei der Diagnostik und Therapie sollen frühzeitig multiprofessionelle Elemente (z. B. </w:t>
      </w:r>
      <w:proofErr w:type="spellStart"/>
      <w:r w:rsidRPr="0027216C">
        <w:rPr>
          <w:lang w:bidi="ar-SA"/>
        </w:rPr>
        <w:t>shared</w:t>
      </w:r>
      <w:proofErr w:type="spellEnd"/>
      <w:r w:rsidRPr="0027216C">
        <w:rPr>
          <w:lang w:bidi="ar-SA"/>
        </w:rPr>
        <w:t xml:space="preserve"> care) eingesetzt und leitlinienbasiert kombiniert werden.</w:t>
      </w:r>
    </w:p>
    <w:p w14:paraId="7C89DE51" w14:textId="77777777" w:rsidR="007E3FAA" w:rsidRPr="0027216C" w:rsidRDefault="00A42038" w:rsidP="00DC6AAD">
      <w:pPr>
        <w:spacing w:before="120"/>
        <w:jc w:val="left"/>
        <w:rPr>
          <w:rFonts w:eastAsia="Arial" w:cs="Lucida Sans Unicode"/>
          <w:b/>
          <w:bCs/>
          <w:color w:val="32466E"/>
          <w:szCs w:val="18"/>
        </w:rPr>
      </w:pPr>
      <w:r w:rsidRPr="0027216C">
        <w:rPr>
          <w:rFonts w:eastAsia="Arial" w:cs="Lucida Sans Unicode"/>
          <w:b/>
          <w:bCs/>
          <w:color w:val="32466E"/>
          <w:szCs w:val="18"/>
        </w:rPr>
        <w:t>Empfehlung 4:</w:t>
      </w:r>
    </w:p>
    <w:p w14:paraId="5022D265" w14:textId="02A5CCBB" w:rsidR="007E3FAA" w:rsidRPr="0027216C" w:rsidRDefault="00A42038" w:rsidP="00DC6AAD">
      <w:pPr>
        <w:pBdr>
          <w:bottom w:val="single" w:sz="12" w:space="1" w:color="auto"/>
        </w:pBdr>
        <w:spacing w:before="0"/>
        <w:jc w:val="left"/>
        <w:rPr>
          <w:rFonts w:eastAsia="Arial" w:cs="Lucida Sans Unicode"/>
          <w:b/>
          <w:bCs/>
          <w:color w:val="32466E"/>
          <w:szCs w:val="18"/>
        </w:rPr>
      </w:pPr>
      <w:r w:rsidRPr="0027216C">
        <w:rPr>
          <w:rFonts w:eastAsia="Arial" w:cs="Lucida Sans Unicode"/>
          <w:b/>
          <w:bCs/>
          <w:color w:val="32466E"/>
          <w:szCs w:val="18"/>
        </w:rPr>
        <w:t xml:space="preserve">Versorgungspfad im Sinne einer </w:t>
      </w:r>
      <w:r w:rsidR="00DC6AAD">
        <w:rPr>
          <w:rFonts w:eastAsia="Arial" w:cs="Lucida Sans Unicode"/>
          <w:b/>
          <w:bCs/>
          <w:color w:val="32466E"/>
          <w:szCs w:val="18"/>
        </w:rPr>
        <w:br/>
      </w:r>
      <w:r w:rsidRPr="0027216C">
        <w:rPr>
          <w:rFonts w:eastAsia="Arial" w:cs="Lucida Sans Unicode"/>
          <w:b/>
          <w:bCs/>
          <w:color w:val="32466E"/>
          <w:szCs w:val="18"/>
        </w:rPr>
        <w:t>abgestuften Versorgung</w:t>
      </w:r>
    </w:p>
    <w:p w14:paraId="62EE4807" w14:textId="249ACB0A" w:rsidR="007E3FAA" w:rsidRPr="0027216C" w:rsidRDefault="00A42038">
      <w:pPr>
        <w:spacing w:before="80"/>
        <w:rPr>
          <w:lang w:bidi="ar-SA"/>
        </w:rPr>
      </w:pPr>
      <w:r w:rsidRPr="0027216C">
        <w:rPr>
          <w:noProof/>
          <w:lang w:eastAsia="de-AT" w:bidi="ar-SA"/>
        </w:rPr>
        <w:drawing>
          <wp:anchor distT="0" distB="0" distL="114300" distR="114300" simplePos="0" relativeHeight="251743232" behindDoc="1" locked="0" layoutInCell="1" allowOverlap="1" wp14:anchorId="21CA9AA4" wp14:editId="749B5AEB">
            <wp:simplePos x="0" y="0"/>
            <wp:positionH relativeFrom="margin">
              <wp:posOffset>2934335</wp:posOffset>
            </wp:positionH>
            <wp:positionV relativeFrom="paragraph">
              <wp:posOffset>62230</wp:posOffset>
            </wp:positionV>
            <wp:extent cx="491490" cy="481330"/>
            <wp:effectExtent l="0" t="0" r="3810" b="0"/>
            <wp:wrapTight wrapText="bothSides">
              <wp:wrapPolygon edited="0">
                <wp:start x="0" y="0"/>
                <wp:lineTo x="0" y="20517"/>
                <wp:lineTo x="20930" y="20517"/>
                <wp:lineTo x="20930" y="0"/>
                <wp:lineTo x="0" y="0"/>
              </wp:wrapPolygon>
            </wp:wrapTight>
            <wp:docPr id="1774705026" name="Grafik 1774705026" descr="Dieses Bild symbolisiert den Patientenp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fik 81" descr="Dieses Bild symbolisiert den Patientenpfa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1490" cy="481330"/>
                    </a:xfrm>
                    <a:prstGeom prst="rect">
                      <a:avLst/>
                    </a:prstGeom>
                  </pic:spPr>
                </pic:pic>
              </a:graphicData>
            </a:graphic>
            <wp14:sizeRelH relativeFrom="page">
              <wp14:pctWidth>0</wp14:pctWidth>
            </wp14:sizeRelH>
            <wp14:sizeRelV relativeFrom="page">
              <wp14:pctHeight>0</wp14:pctHeight>
            </wp14:sizeRelV>
          </wp:anchor>
        </w:drawing>
      </w:r>
      <w:r w:rsidRPr="0027216C">
        <w:t>Die Versorgung von Patientinnen</w:t>
      </w:r>
      <w:r w:rsidR="007D2A28">
        <w:t xml:space="preserve"> und Patienten</w:t>
      </w:r>
      <w:r w:rsidRPr="0027216C">
        <w:t xml:space="preserve"> mit chronischen Wunden soll von </w:t>
      </w:r>
      <w:proofErr w:type="spellStart"/>
      <w:r w:rsidRPr="0027216C">
        <w:t>Gesundheitsdiensteanbieterinnen</w:t>
      </w:r>
      <w:proofErr w:type="spellEnd"/>
      <w:r w:rsidRPr="0027216C">
        <w:t xml:space="preserve"> </w:t>
      </w:r>
      <w:r w:rsidR="007D2A28">
        <w:t xml:space="preserve">und -anbietern </w:t>
      </w:r>
      <w:r w:rsidR="00FB407D">
        <w:t xml:space="preserve">(GDA) </w:t>
      </w:r>
      <w:r w:rsidRPr="0027216C">
        <w:t>bzw. Einrichtungen der jeweils geeigneten Wundmanagement-</w:t>
      </w:r>
      <w:r w:rsidR="00277DE9" w:rsidRPr="0027216C">
        <w:t>Stufe</w:t>
      </w:r>
      <w:r w:rsidRPr="0027216C">
        <w:t xml:space="preserve"> durchgeführt werden.</w:t>
      </w:r>
    </w:p>
    <w:p w14:paraId="6A4E1E7D" w14:textId="77777777" w:rsidR="007E3FAA" w:rsidRPr="0027216C" w:rsidRDefault="00A42038" w:rsidP="00DC6AAD">
      <w:pPr>
        <w:spacing w:before="360"/>
        <w:jc w:val="left"/>
        <w:rPr>
          <w:rFonts w:eastAsia="Arial" w:cs="Lucida Sans Unicode"/>
          <w:b/>
          <w:bCs/>
          <w:color w:val="32466E"/>
          <w:szCs w:val="18"/>
        </w:rPr>
      </w:pPr>
      <w:r w:rsidRPr="0027216C">
        <w:rPr>
          <w:rFonts w:eastAsia="Arial" w:cs="Lucida Sans Unicode"/>
          <w:b/>
          <w:bCs/>
          <w:color w:val="32466E"/>
          <w:szCs w:val="18"/>
        </w:rPr>
        <w:t>Empfehlung 5:</w:t>
      </w:r>
    </w:p>
    <w:p w14:paraId="51F49B78" w14:textId="3D11AC05" w:rsidR="007E3FAA" w:rsidRPr="0027216C" w:rsidRDefault="00A42038" w:rsidP="00DC6AAD">
      <w:pPr>
        <w:pBdr>
          <w:bottom w:val="single" w:sz="12" w:space="1" w:color="auto"/>
        </w:pBdr>
        <w:spacing w:before="0"/>
        <w:jc w:val="left"/>
        <w:rPr>
          <w:rFonts w:eastAsia="Arial" w:cs="Lucida Sans Unicode"/>
          <w:b/>
          <w:bCs/>
          <w:color w:val="32466E"/>
          <w:szCs w:val="18"/>
        </w:rPr>
      </w:pPr>
      <w:r w:rsidRPr="0027216C">
        <w:rPr>
          <w:rFonts w:eastAsia="Arial" w:cs="Lucida Sans Unicode"/>
          <w:b/>
          <w:bCs/>
          <w:color w:val="32466E"/>
          <w:szCs w:val="18"/>
        </w:rPr>
        <w:t xml:space="preserve">Schriftlicher </w:t>
      </w:r>
      <w:r w:rsidR="00827519" w:rsidRPr="0027216C">
        <w:rPr>
          <w:rFonts w:eastAsia="Arial" w:cs="Lucida Sans Unicode"/>
          <w:b/>
          <w:bCs/>
          <w:color w:val="32466E"/>
          <w:szCs w:val="18"/>
        </w:rPr>
        <w:t xml:space="preserve">interprofessioneller </w:t>
      </w:r>
      <w:r w:rsidR="00DC6AAD">
        <w:rPr>
          <w:rFonts w:eastAsia="Arial" w:cs="Lucida Sans Unicode"/>
          <w:b/>
          <w:bCs/>
          <w:color w:val="32466E"/>
          <w:szCs w:val="18"/>
        </w:rPr>
        <w:br/>
      </w:r>
      <w:r w:rsidRPr="0027216C">
        <w:rPr>
          <w:rFonts w:eastAsia="Arial" w:cs="Lucida Sans Unicode"/>
          <w:b/>
          <w:bCs/>
          <w:color w:val="32466E"/>
          <w:szCs w:val="18"/>
        </w:rPr>
        <w:t>Behandlungsplan</w:t>
      </w:r>
    </w:p>
    <w:p w14:paraId="2FFD2050" w14:textId="21B47FEA" w:rsidR="007E3FAA" w:rsidRPr="0027216C" w:rsidRDefault="00A42038">
      <w:pPr>
        <w:spacing w:before="80"/>
        <w:rPr>
          <w:lang w:bidi="ar-SA"/>
        </w:rPr>
      </w:pPr>
      <w:r w:rsidRPr="0027216C">
        <w:rPr>
          <w:noProof/>
          <w:lang w:eastAsia="de-AT" w:bidi="ar-SA"/>
        </w:rPr>
        <w:drawing>
          <wp:anchor distT="0" distB="0" distL="114300" distR="114300" simplePos="0" relativeHeight="251741184" behindDoc="0" locked="0" layoutInCell="1" allowOverlap="1" wp14:anchorId="06FBE54E" wp14:editId="0898A599">
            <wp:simplePos x="0" y="0"/>
            <wp:positionH relativeFrom="column">
              <wp:posOffset>22828</wp:posOffset>
            </wp:positionH>
            <wp:positionV relativeFrom="paragraph">
              <wp:posOffset>92235</wp:posOffset>
            </wp:positionV>
            <wp:extent cx="491490" cy="537210"/>
            <wp:effectExtent l="0" t="0" r="3810" b="0"/>
            <wp:wrapSquare wrapText="bothSides"/>
            <wp:docPr id="852115722" name="Grafik 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15722" name="Grafik 4" descr="Ein Bild, das Schwarz, Dunkelheit enthält.&#10;&#10;Automatisch generierte Beschreibu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490" cy="537210"/>
                    </a:xfrm>
                    <a:prstGeom prst="rect">
                      <a:avLst/>
                    </a:prstGeom>
                    <a:noFill/>
                  </pic:spPr>
                </pic:pic>
              </a:graphicData>
            </a:graphic>
            <wp14:sizeRelH relativeFrom="margin">
              <wp14:pctWidth>0</wp14:pctWidth>
            </wp14:sizeRelH>
            <wp14:sizeRelV relativeFrom="margin">
              <wp14:pctHeight>0</wp14:pctHeight>
            </wp14:sizeRelV>
          </wp:anchor>
        </w:drawing>
      </w:r>
      <w:r w:rsidRPr="0027216C">
        <w:rPr>
          <w:lang w:bidi="ar-SA"/>
        </w:rPr>
        <w:t>Für jede Patientin</w:t>
      </w:r>
      <w:r w:rsidR="00740F13">
        <w:rPr>
          <w:lang w:bidi="ar-SA"/>
        </w:rPr>
        <w:t xml:space="preserve"> bzw. </w:t>
      </w:r>
      <w:r w:rsidR="00B820B9">
        <w:rPr>
          <w:lang w:bidi="ar-SA"/>
        </w:rPr>
        <w:t xml:space="preserve">jeden Patienten </w:t>
      </w:r>
      <w:r w:rsidRPr="0027216C">
        <w:rPr>
          <w:lang w:bidi="ar-SA"/>
        </w:rPr>
        <w:t>mit einer chronischen Wunde soll ein gemeinsam mit der</w:t>
      </w:r>
      <w:r w:rsidR="00B820B9">
        <w:rPr>
          <w:lang w:bidi="ar-SA"/>
        </w:rPr>
        <w:t xml:space="preserve"> Patientin</w:t>
      </w:r>
      <w:r w:rsidR="00740F13">
        <w:rPr>
          <w:lang w:bidi="ar-SA"/>
        </w:rPr>
        <w:t xml:space="preserve"> bzw. </w:t>
      </w:r>
      <w:r w:rsidR="00B820B9">
        <w:rPr>
          <w:lang w:bidi="ar-SA"/>
        </w:rPr>
        <w:t>dem Patienten</w:t>
      </w:r>
      <w:r w:rsidRPr="0027216C">
        <w:rPr>
          <w:lang w:bidi="ar-SA"/>
        </w:rPr>
        <w:t xml:space="preserve"> entwickelter und mit den unterschiedlichen Professionen abgestimmter schriftlicher Behandlungsplan durch das Behandlungsteam erstellt werden.</w:t>
      </w:r>
    </w:p>
    <w:p w14:paraId="1CCD6F1D" w14:textId="77777777" w:rsidR="007E3FAA" w:rsidRPr="0027216C" w:rsidRDefault="00A42038" w:rsidP="00DC6AAD">
      <w:pPr>
        <w:spacing w:before="360"/>
        <w:jc w:val="left"/>
        <w:rPr>
          <w:rFonts w:eastAsia="Arial" w:cs="Lucida Sans Unicode"/>
          <w:b/>
          <w:bCs/>
          <w:color w:val="32466E"/>
          <w:szCs w:val="18"/>
        </w:rPr>
      </w:pPr>
      <w:r w:rsidRPr="0027216C">
        <w:rPr>
          <w:rFonts w:eastAsia="Arial" w:cs="Lucida Sans Unicode"/>
          <w:b/>
          <w:bCs/>
          <w:color w:val="32466E"/>
          <w:szCs w:val="18"/>
        </w:rPr>
        <w:t>Empfehlung 6:</w:t>
      </w:r>
    </w:p>
    <w:p w14:paraId="102C5B0B" w14:textId="28A37B32" w:rsidR="007E3FAA" w:rsidRPr="0027216C" w:rsidRDefault="00A42038" w:rsidP="00DC6AAD">
      <w:pPr>
        <w:pBdr>
          <w:bottom w:val="single" w:sz="12" w:space="1" w:color="auto"/>
        </w:pBdr>
        <w:spacing w:before="0"/>
        <w:jc w:val="left"/>
        <w:rPr>
          <w:rFonts w:eastAsia="Arial" w:cs="Lucida Sans Unicode"/>
          <w:b/>
          <w:bCs/>
          <w:color w:val="32466E"/>
          <w:szCs w:val="18"/>
        </w:rPr>
      </w:pPr>
      <w:r w:rsidRPr="0027216C">
        <w:rPr>
          <w:rFonts w:eastAsia="Arial" w:cs="Lucida Sans Unicode"/>
          <w:b/>
          <w:bCs/>
          <w:color w:val="32466E"/>
          <w:szCs w:val="18"/>
        </w:rPr>
        <w:t>Lokaltherapeutische Versorgung</w:t>
      </w:r>
    </w:p>
    <w:p w14:paraId="10AD6E9F" w14:textId="605B696F" w:rsidR="007E3FAA" w:rsidRPr="0027216C" w:rsidRDefault="007B7A06">
      <w:pPr>
        <w:spacing w:before="60" w:after="60" w:line="240" w:lineRule="auto"/>
        <w:rPr>
          <w:lang w:bidi="ar-SA"/>
        </w:rPr>
      </w:pPr>
      <w:r w:rsidRPr="0027216C">
        <w:rPr>
          <w:noProof/>
          <w:lang w:eastAsia="de-AT" w:bidi="ar-SA"/>
        </w:rPr>
        <w:drawing>
          <wp:anchor distT="0" distB="0" distL="114300" distR="114300" simplePos="0" relativeHeight="251738112" behindDoc="0" locked="0" layoutInCell="1" allowOverlap="1" wp14:anchorId="6315A443" wp14:editId="2EF936F8">
            <wp:simplePos x="0" y="0"/>
            <wp:positionH relativeFrom="column">
              <wp:posOffset>8890</wp:posOffset>
            </wp:positionH>
            <wp:positionV relativeFrom="page">
              <wp:posOffset>6055360</wp:posOffset>
            </wp:positionV>
            <wp:extent cx="523875" cy="478155"/>
            <wp:effectExtent l="0" t="0" r="9525" b="0"/>
            <wp:wrapSquare wrapText="bothSides"/>
            <wp:docPr id="604359052"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44715" name="Grafik 1" descr="Ein Bild, das Schwarz, Dunkelheit enthält.&#10;&#10;Automatisch generierte Beschreibung"/>
                    <pic:cNvPicPr/>
                  </pic:nvPicPr>
                  <pic:blipFill rotWithShape="1">
                    <a:blip r:embed="rId18" cstate="print">
                      <a:extLst>
                        <a:ext uri="{28A0092B-C50C-407E-A947-70E740481C1C}">
                          <a14:useLocalDpi xmlns:a14="http://schemas.microsoft.com/office/drawing/2010/main" val="0"/>
                        </a:ext>
                      </a:extLst>
                    </a:blip>
                    <a:srcRect l="6130" t="2009" r="7252" b="18927"/>
                    <a:stretch/>
                  </pic:blipFill>
                  <pic:spPr bwMode="auto">
                    <a:xfrm>
                      <a:off x="0" y="0"/>
                      <a:ext cx="523875" cy="478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2038" w:rsidRPr="0027216C">
        <w:rPr>
          <w:rFonts w:cs="Lucida Sans Unicode"/>
        </w:rPr>
        <w:t xml:space="preserve">Geeignete Wundversorgungsprodukte sollen auf Basis der klinischen Beurteilung und unter Berücksichtigung der vereinbarten Behandlungsziele und Pflegefähigkeiten </w:t>
      </w:r>
      <w:r>
        <w:rPr>
          <w:rFonts w:cs="Lucida Sans Unicode"/>
        </w:rPr>
        <w:t>der Patientin</w:t>
      </w:r>
      <w:r w:rsidR="00740F13">
        <w:rPr>
          <w:rFonts w:cs="Lucida Sans Unicode"/>
        </w:rPr>
        <w:t xml:space="preserve"> bzw. </w:t>
      </w:r>
      <w:r>
        <w:rPr>
          <w:rFonts w:cs="Lucida Sans Unicode"/>
        </w:rPr>
        <w:t>des Patienten</w:t>
      </w:r>
      <w:r w:rsidR="00A42038" w:rsidRPr="0027216C">
        <w:rPr>
          <w:rFonts w:cs="Lucida Sans Unicode"/>
        </w:rPr>
        <w:t xml:space="preserve"> und informeller Pflegender ausgewählt werden. Dabei sollen Aspekte der Behandlungseffizienz mitberücksichtigt werden. Ein Wundmonitoring zur Überwachung der Wundheilung soll bei jedem Verbandswechsel erfolgen.</w:t>
      </w:r>
    </w:p>
    <w:p w14:paraId="68797106" w14:textId="77777777" w:rsidR="007E3FAA" w:rsidRPr="0027216C" w:rsidRDefault="00A42038" w:rsidP="00DC6AAD">
      <w:pPr>
        <w:spacing w:before="360"/>
        <w:jc w:val="left"/>
        <w:rPr>
          <w:rFonts w:eastAsia="Arial" w:cs="Lucida Sans Unicode"/>
          <w:b/>
          <w:bCs/>
          <w:color w:val="32466E"/>
          <w:szCs w:val="18"/>
        </w:rPr>
      </w:pPr>
      <w:r w:rsidRPr="0027216C">
        <w:rPr>
          <w:rFonts w:eastAsia="Arial" w:cs="Lucida Sans Unicode"/>
          <w:b/>
          <w:bCs/>
          <w:color w:val="32466E"/>
          <w:szCs w:val="18"/>
        </w:rPr>
        <w:t>Empfehlung 7:</w:t>
      </w:r>
    </w:p>
    <w:p w14:paraId="15F1D3EA" w14:textId="77777777" w:rsidR="007E3FAA" w:rsidRPr="0027216C" w:rsidRDefault="00A42038" w:rsidP="00DC6AAD">
      <w:pPr>
        <w:pBdr>
          <w:bottom w:val="single" w:sz="12" w:space="1" w:color="auto"/>
        </w:pBdr>
        <w:spacing w:before="0"/>
        <w:jc w:val="left"/>
        <w:rPr>
          <w:rFonts w:eastAsia="Arial" w:cs="Lucida Sans Unicode"/>
          <w:b/>
          <w:bCs/>
          <w:color w:val="32466E"/>
          <w:szCs w:val="18"/>
        </w:rPr>
      </w:pPr>
      <w:r w:rsidRPr="0027216C">
        <w:rPr>
          <w:rFonts w:eastAsia="Arial" w:cs="Lucida Sans Unicode"/>
          <w:b/>
          <w:bCs/>
          <w:color w:val="32466E"/>
          <w:szCs w:val="18"/>
        </w:rPr>
        <w:t>Wundbeurteilung und Dokumentation</w:t>
      </w:r>
    </w:p>
    <w:bookmarkEnd w:id="20"/>
    <w:p w14:paraId="795B7E96" w14:textId="77777777" w:rsidR="007E3FAA" w:rsidRPr="0027216C" w:rsidRDefault="00A42038">
      <w:pPr>
        <w:spacing w:before="80"/>
        <w:rPr>
          <w:lang w:bidi="ar-SA"/>
        </w:rPr>
      </w:pPr>
      <w:r w:rsidRPr="0027216C">
        <w:rPr>
          <w:noProof/>
          <w:lang w:eastAsia="de-AT" w:bidi="ar-SA"/>
        </w:rPr>
        <w:drawing>
          <wp:anchor distT="0" distB="0" distL="114300" distR="114300" simplePos="0" relativeHeight="251749376" behindDoc="0" locked="0" layoutInCell="1" allowOverlap="1" wp14:anchorId="7FA0D114" wp14:editId="5781EF2A">
            <wp:simplePos x="0" y="0"/>
            <wp:positionH relativeFrom="column">
              <wp:align>left</wp:align>
            </wp:positionH>
            <wp:positionV relativeFrom="paragraph">
              <wp:posOffset>113392</wp:posOffset>
            </wp:positionV>
            <wp:extent cx="584200" cy="497840"/>
            <wp:effectExtent l="0" t="0" r="0" b="0"/>
            <wp:wrapSquare wrapText="bothSides"/>
            <wp:docPr id="161641337"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1337" name="Grafik 1" descr="Ein Bild, das Schwarz, Dunkelheit enthält.&#10;&#10;Automatisch generierte Beschreibung"/>
                    <pic:cNvPicPr/>
                  </pic:nvPicPr>
                  <pic:blipFill rotWithShape="1">
                    <a:blip r:embed="rId19" cstate="print">
                      <a:extLst>
                        <a:ext uri="{28A0092B-C50C-407E-A947-70E740481C1C}">
                          <a14:useLocalDpi xmlns:a14="http://schemas.microsoft.com/office/drawing/2010/main" val="0"/>
                        </a:ext>
                      </a:extLst>
                    </a:blip>
                    <a:srcRect b="14808"/>
                    <a:stretch/>
                  </pic:blipFill>
                  <pic:spPr bwMode="auto">
                    <a:xfrm>
                      <a:off x="0" y="0"/>
                      <a:ext cx="603403" cy="5142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216C">
        <w:rPr>
          <w:lang w:bidi="ar-SA"/>
        </w:rPr>
        <w:t>Die Wundbeurteilung soll anhand eines standardisierten Wundbeurteilungs-/Klassifizie</w:t>
      </w:r>
      <w:r w:rsidRPr="0027216C">
        <w:rPr>
          <w:lang w:bidi="ar-SA"/>
        </w:rPr>
        <w:lastRenderedPageBreak/>
        <w:t>rungssystems, die Dokumentation anhand von SOPs und standardisierten Dokumentationssystemen erfolgen.</w:t>
      </w:r>
    </w:p>
    <w:p w14:paraId="129DF76E" w14:textId="77777777" w:rsidR="007E3FAA" w:rsidRPr="0027216C" w:rsidRDefault="00A42038">
      <w:pPr>
        <w:spacing w:before="240"/>
        <w:rPr>
          <w:rFonts w:eastAsia="Arial" w:cs="Lucida Sans Unicode"/>
          <w:b/>
          <w:bCs/>
          <w:color w:val="32466E"/>
          <w:szCs w:val="18"/>
        </w:rPr>
      </w:pPr>
      <w:r w:rsidRPr="0027216C">
        <w:rPr>
          <w:rFonts w:eastAsia="Arial" w:cs="Lucida Sans Unicode"/>
          <w:b/>
          <w:bCs/>
          <w:color w:val="32466E"/>
          <w:szCs w:val="18"/>
        </w:rPr>
        <w:t>Empfehlung 8:</w:t>
      </w:r>
    </w:p>
    <w:p w14:paraId="5129F899" w14:textId="77777777" w:rsidR="007E3FAA" w:rsidRPr="0027216C" w:rsidRDefault="00A42038">
      <w:pPr>
        <w:pBdr>
          <w:bottom w:val="single" w:sz="12" w:space="1" w:color="auto"/>
        </w:pBdr>
        <w:spacing w:before="0"/>
        <w:rPr>
          <w:rFonts w:eastAsia="Arial" w:cs="Lucida Sans Unicode"/>
          <w:b/>
          <w:bCs/>
          <w:color w:val="32466E"/>
          <w:szCs w:val="18"/>
        </w:rPr>
      </w:pPr>
      <w:r w:rsidRPr="0027216C">
        <w:rPr>
          <w:rFonts w:eastAsia="Arial" w:cs="Lucida Sans Unicode"/>
          <w:b/>
          <w:bCs/>
          <w:color w:val="32466E"/>
          <w:szCs w:val="18"/>
        </w:rPr>
        <w:t>Vorgehen bei fehlender Heilungstendenz</w:t>
      </w:r>
    </w:p>
    <w:p w14:paraId="5232E3EA" w14:textId="743BBE7B" w:rsidR="007E3FAA" w:rsidRPr="0027216C" w:rsidRDefault="00A42038">
      <w:pPr>
        <w:spacing w:before="80"/>
      </w:pPr>
      <w:r w:rsidRPr="0027216C">
        <w:rPr>
          <w:rFonts w:cs="Segoe UI"/>
          <w:noProof/>
          <w:lang w:eastAsia="de-AT" w:bidi="ar-SA"/>
        </w:rPr>
        <w:drawing>
          <wp:anchor distT="0" distB="0" distL="114300" distR="114300" simplePos="0" relativeHeight="251753472" behindDoc="0" locked="0" layoutInCell="1" allowOverlap="1" wp14:anchorId="2EC104B0" wp14:editId="3DDD9307">
            <wp:simplePos x="0" y="0"/>
            <wp:positionH relativeFrom="column">
              <wp:posOffset>6350</wp:posOffset>
            </wp:positionH>
            <wp:positionV relativeFrom="paragraph">
              <wp:posOffset>85090</wp:posOffset>
            </wp:positionV>
            <wp:extent cx="561340" cy="508635"/>
            <wp:effectExtent l="0" t="0" r="0" b="5715"/>
            <wp:wrapSquare wrapText="bothSides"/>
            <wp:docPr id="386520230" name="Grafik 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20230" name="Grafik 5" descr="Ein Bild, das Schwarz, Dunkelheit enthält.&#10;&#10;Automatisch generierte Beschreib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340" cy="508635"/>
                    </a:xfrm>
                    <a:prstGeom prst="rect">
                      <a:avLst/>
                    </a:prstGeom>
                    <a:noFill/>
                  </pic:spPr>
                </pic:pic>
              </a:graphicData>
            </a:graphic>
            <wp14:sizeRelH relativeFrom="margin">
              <wp14:pctWidth>0</wp14:pctWidth>
            </wp14:sizeRelH>
            <wp14:sizeRelV relativeFrom="margin">
              <wp14:pctHeight>0</wp14:pctHeight>
            </wp14:sizeRelV>
          </wp:anchor>
        </w:drawing>
      </w:r>
      <w:r w:rsidRPr="0027216C">
        <w:t xml:space="preserve">Wenn bei einer chronischen Wunde </w:t>
      </w:r>
      <w:r w:rsidR="00002775" w:rsidRPr="0027216C">
        <w:t xml:space="preserve">spätestens </w:t>
      </w:r>
      <w:r w:rsidRPr="0027216C">
        <w:t xml:space="preserve">4 bis 6 Wochen nach Beginn einer leitliniengerechten Behandlung keine bzw. keine ausreichende Heilungstendenz oder eine Verschlechterung der Wundsituation erkennbar ist, soll eine umfassende Neubeurteilung stattfinden. Hierzu soll eine Evaluation durch die nächsthöhere </w:t>
      </w:r>
      <w:r w:rsidR="00277DE9" w:rsidRPr="0027216C">
        <w:t>Stufe</w:t>
      </w:r>
      <w:r w:rsidRPr="0027216C">
        <w:t xml:space="preserve"> erfolgen und/oder eine Zweitmeinung von qualifizierten GDA eingeholt werden.</w:t>
      </w:r>
    </w:p>
    <w:p w14:paraId="055E7C27" w14:textId="77777777" w:rsidR="007E3FAA" w:rsidRPr="0027216C" w:rsidRDefault="00A42038">
      <w:pPr>
        <w:spacing w:before="360"/>
        <w:rPr>
          <w:rFonts w:eastAsia="Arial" w:cs="Lucida Sans Unicode"/>
          <w:b/>
          <w:bCs/>
          <w:color w:val="32466E"/>
          <w:szCs w:val="18"/>
        </w:rPr>
      </w:pPr>
      <w:r w:rsidRPr="0027216C">
        <w:rPr>
          <w:rFonts w:eastAsia="Arial" w:cs="Lucida Sans Unicode"/>
          <w:b/>
          <w:bCs/>
          <w:color w:val="32466E"/>
          <w:szCs w:val="18"/>
        </w:rPr>
        <w:t>Empfehlung 9:</w:t>
      </w:r>
    </w:p>
    <w:p w14:paraId="14CD861D" w14:textId="742603A5" w:rsidR="007E3FAA" w:rsidRPr="0027216C" w:rsidRDefault="00A42038">
      <w:pPr>
        <w:pBdr>
          <w:bottom w:val="single" w:sz="12" w:space="1" w:color="auto"/>
        </w:pBdr>
        <w:suppressAutoHyphens/>
        <w:spacing w:before="0"/>
        <w:jc w:val="left"/>
        <w:rPr>
          <w:rFonts w:eastAsia="Arial" w:cs="Lucida Sans Unicode"/>
          <w:b/>
          <w:bCs/>
          <w:color w:val="32466E"/>
          <w:szCs w:val="18"/>
        </w:rPr>
      </w:pPr>
      <w:r w:rsidRPr="0027216C">
        <w:rPr>
          <w:rFonts w:eastAsia="Arial" w:cs="Lucida Sans Unicode"/>
          <w:b/>
          <w:bCs/>
          <w:color w:val="32466E"/>
          <w:szCs w:val="18"/>
        </w:rPr>
        <w:t xml:space="preserve">Patienteninformation, -schulung und </w:t>
      </w:r>
      <w:r w:rsidR="009A6961">
        <w:rPr>
          <w:rFonts w:eastAsia="Arial" w:cs="Lucida Sans Unicode"/>
          <w:b/>
          <w:bCs/>
          <w:color w:val="32466E"/>
          <w:szCs w:val="18"/>
        </w:rPr>
        <w:br/>
      </w:r>
      <w:r w:rsidRPr="0027216C">
        <w:rPr>
          <w:rFonts w:eastAsia="Arial" w:cs="Lucida Sans Unicode"/>
          <w:b/>
          <w:bCs/>
          <w:color w:val="32466E"/>
          <w:szCs w:val="18"/>
        </w:rPr>
        <w:t>-beratung</w:t>
      </w:r>
    </w:p>
    <w:p w14:paraId="2B9EC4E1" w14:textId="41973CC2" w:rsidR="007E3FAA" w:rsidRPr="0027216C" w:rsidRDefault="00A42038">
      <w:pPr>
        <w:spacing w:before="60" w:after="60" w:line="240" w:lineRule="auto"/>
      </w:pPr>
      <w:r w:rsidRPr="0027216C">
        <w:rPr>
          <w:noProof/>
          <w:lang w:eastAsia="de-AT" w:bidi="ar-SA"/>
        </w:rPr>
        <w:drawing>
          <wp:anchor distT="0" distB="0" distL="114300" distR="114300" simplePos="0" relativeHeight="251754496" behindDoc="0" locked="0" layoutInCell="1" allowOverlap="1" wp14:anchorId="785E4B22" wp14:editId="54753E27">
            <wp:simplePos x="0" y="0"/>
            <wp:positionH relativeFrom="column">
              <wp:posOffset>627</wp:posOffset>
            </wp:positionH>
            <wp:positionV relativeFrom="paragraph">
              <wp:posOffset>38430</wp:posOffset>
            </wp:positionV>
            <wp:extent cx="669851" cy="578734"/>
            <wp:effectExtent l="0" t="0" r="0" b="0"/>
            <wp:wrapSquare wrapText="bothSides"/>
            <wp:docPr id="442754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5453" name="Grafik 1" descr="Ein Bild, das Schwarz, Dunkelheit enthält.&#10;&#10;Automatisch generierte Beschreibung"/>
                    <pic:cNvPicPr/>
                  </pic:nvPicPr>
                  <pic:blipFill rotWithShape="1">
                    <a:blip r:embed="rId21" cstate="print">
                      <a:extLst>
                        <a:ext uri="{28A0092B-C50C-407E-A947-70E740481C1C}">
                          <a14:useLocalDpi xmlns:a14="http://schemas.microsoft.com/office/drawing/2010/main" val="0"/>
                        </a:ext>
                      </a:extLst>
                    </a:blip>
                    <a:srcRect b="13602"/>
                    <a:stretch/>
                  </pic:blipFill>
                  <pic:spPr bwMode="auto">
                    <a:xfrm>
                      <a:off x="0" y="0"/>
                      <a:ext cx="669851" cy="578734"/>
                    </a:xfrm>
                    <a:prstGeom prst="rect">
                      <a:avLst/>
                    </a:prstGeom>
                    <a:ln>
                      <a:noFill/>
                    </a:ln>
                    <a:extLst>
                      <a:ext uri="{53640926-AAD7-44D8-BBD7-CCE9431645EC}">
                        <a14:shadowObscured xmlns:a14="http://schemas.microsoft.com/office/drawing/2010/main"/>
                      </a:ext>
                    </a:extLst>
                  </pic:spPr>
                </pic:pic>
              </a:graphicData>
            </a:graphic>
          </wp:anchor>
        </w:drawing>
      </w:r>
      <w:r w:rsidRPr="0027216C">
        <w:t xml:space="preserve">Patientinnen </w:t>
      </w:r>
      <w:r w:rsidR="00611895">
        <w:t xml:space="preserve">und Patienten </w:t>
      </w:r>
      <w:r w:rsidRPr="0027216C">
        <w:t xml:space="preserve">sollen eine </w:t>
      </w:r>
      <w:r w:rsidR="009A6961">
        <w:t>an</w:t>
      </w:r>
      <w:r w:rsidR="009A6961" w:rsidRPr="0027216C">
        <w:t xml:space="preserve"> </w:t>
      </w:r>
      <w:r w:rsidRPr="0027216C">
        <w:t>ihre Bedürfnisse angepasste Beratung, Schulung und Information zur Krankheitsursache und -behandlung sowie zu Versorgungsangeboten erhalten. Dies schließt die Förderung zum Erhalt von All</w:t>
      </w:r>
      <w:r w:rsidRPr="0027216C">
        <w:t>tagskompetenzen im Kontext der Wundbehandlung und die Stärkung der individuellen Gesundheitskompetenz mit ein.</w:t>
      </w:r>
    </w:p>
    <w:p w14:paraId="172F12B6" w14:textId="150DF7FF" w:rsidR="00FD757D" w:rsidRDefault="00A42038" w:rsidP="00F30BC8">
      <w:pPr>
        <w:spacing w:before="360"/>
        <w:rPr>
          <w:rFonts w:eastAsia="Arial" w:cs="Lucida Sans Unicode"/>
          <w:b/>
          <w:bCs/>
          <w:color w:val="32466E"/>
          <w:szCs w:val="18"/>
        </w:rPr>
      </w:pPr>
      <w:r w:rsidRPr="0027216C">
        <w:rPr>
          <w:rFonts w:eastAsia="Arial" w:cs="Lucida Sans Unicode"/>
          <w:b/>
          <w:bCs/>
          <w:color w:val="32466E"/>
          <w:szCs w:val="18"/>
        </w:rPr>
        <w:t>Empfehlung 10:</w:t>
      </w:r>
    </w:p>
    <w:p w14:paraId="11E7CA61" w14:textId="26B1FB9A" w:rsidR="007E3FAA" w:rsidRPr="0027216C" w:rsidRDefault="00A42038" w:rsidP="00E24097">
      <w:pPr>
        <w:pBdr>
          <w:bottom w:val="single" w:sz="12" w:space="1" w:color="auto"/>
        </w:pBdr>
        <w:spacing w:before="0"/>
        <w:rPr>
          <w:rFonts w:eastAsia="Arial" w:cs="Lucida Sans Unicode"/>
          <w:b/>
          <w:bCs/>
          <w:color w:val="32466E"/>
          <w:szCs w:val="18"/>
        </w:rPr>
      </w:pPr>
      <w:r w:rsidRPr="0027216C">
        <w:rPr>
          <w:rFonts w:eastAsia="Arial" w:cs="Lucida Sans Unicode"/>
          <w:b/>
          <w:bCs/>
          <w:color w:val="32466E"/>
          <w:szCs w:val="18"/>
        </w:rPr>
        <w:t>Hilfsmittel/Heilbehelfe/Kompression</w:t>
      </w:r>
    </w:p>
    <w:p w14:paraId="044BA310" w14:textId="1790C49B" w:rsidR="007E3FAA" w:rsidRPr="0027216C" w:rsidRDefault="00A42038" w:rsidP="0067735F">
      <w:pPr>
        <w:spacing w:before="80"/>
        <w:rPr>
          <w:lang w:bidi="ar-SA"/>
        </w:rPr>
      </w:pPr>
      <w:r w:rsidRPr="0027216C">
        <w:rPr>
          <w:noProof/>
          <w:lang w:eastAsia="de-AT" w:bidi="ar-SA"/>
        </w:rPr>
        <w:drawing>
          <wp:anchor distT="0" distB="0" distL="114300" distR="114300" simplePos="0" relativeHeight="251759616" behindDoc="0" locked="0" layoutInCell="1" allowOverlap="1" wp14:anchorId="30DE401A" wp14:editId="211038D9">
            <wp:simplePos x="0" y="0"/>
            <wp:positionH relativeFrom="column">
              <wp:align>left</wp:align>
            </wp:positionH>
            <wp:positionV relativeFrom="paragraph">
              <wp:posOffset>92075</wp:posOffset>
            </wp:positionV>
            <wp:extent cx="521335" cy="444500"/>
            <wp:effectExtent l="0" t="0" r="0" b="0"/>
            <wp:wrapSquare wrapText="bothSides"/>
            <wp:docPr id="1691689754"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89754" name="Grafik 1" descr="Ein Bild, das Schwarz, Dunkelheit enthält.&#10;&#10;Automatisch generierte Beschreibung"/>
                    <pic:cNvPicPr/>
                  </pic:nvPicPr>
                  <pic:blipFill rotWithShape="1">
                    <a:blip r:embed="rId22" cstate="print">
                      <a:extLst>
                        <a:ext uri="{28A0092B-C50C-407E-A947-70E740481C1C}">
                          <a14:useLocalDpi xmlns:a14="http://schemas.microsoft.com/office/drawing/2010/main" val="0"/>
                        </a:ext>
                      </a:extLst>
                    </a:blip>
                    <a:srcRect b="14808"/>
                    <a:stretch/>
                  </pic:blipFill>
                  <pic:spPr bwMode="auto">
                    <a:xfrm rot="16200000">
                      <a:off x="0" y="0"/>
                      <a:ext cx="521335" cy="44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216C">
        <w:rPr>
          <w:noProof/>
          <w:lang w:eastAsia="de-AT" w:bidi="ar-SA"/>
        </w:rPr>
        <w:t>Der Einsatz von geeigneten Hilfs</w:t>
      </w:r>
      <w:r w:rsidR="00711A10">
        <w:rPr>
          <w:noProof/>
          <w:lang w:eastAsia="de-AT" w:bidi="ar-SA"/>
        </w:rPr>
        <w:softHyphen/>
      </w:r>
      <w:r w:rsidRPr="0027216C">
        <w:rPr>
          <w:noProof/>
          <w:lang w:eastAsia="de-AT" w:bidi="ar-SA"/>
        </w:rPr>
        <w:t>mitteln (z</w:t>
      </w:r>
      <w:r w:rsidR="009A6961" w:rsidRPr="0027216C">
        <w:rPr>
          <w:noProof/>
          <w:lang w:eastAsia="de-AT" w:bidi="ar-SA"/>
        </w:rPr>
        <w:t>.</w:t>
      </w:r>
      <w:r w:rsidR="009A6961">
        <w:rPr>
          <w:noProof/>
          <w:lang w:eastAsia="de-AT" w:bidi="ar-SA"/>
        </w:rPr>
        <w:t> </w:t>
      </w:r>
      <w:r w:rsidRPr="0027216C">
        <w:rPr>
          <w:noProof/>
          <w:lang w:eastAsia="de-AT" w:bidi="ar-SA"/>
        </w:rPr>
        <w:t xml:space="preserve">B. </w:t>
      </w:r>
      <w:r w:rsidR="00711A10">
        <w:rPr>
          <w:noProof/>
          <w:lang w:eastAsia="de-AT" w:bidi="ar-SA"/>
        </w:rPr>
        <w:t xml:space="preserve">von </w:t>
      </w:r>
      <w:r w:rsidRPr="0027216C">
        <w:rPr>
          <w:noProof/>
          <w:lang w:eastAsia="de-AT" w:bidi="ar-SA"/>
        </w:rPr>
        <w:t>Orthesen, An- und Ausziehhilfen bei medizini</w:t>
      </w:r>
      <w:r w:rsidR="00711A10">
        <w:rPr>
          <w:noProof/>
          <w:lang w:eastAsia="de-AT" w:bidi="ar-SA"/>
        </w:rPr>
        <w:softHyphen/>
      </w:r>
      <w:r w:rsidRPr="0027216C">
        <w:rPr>
          <w:noProof/>
          <w:lang w:eastAsia="de-AT" w:bidi="ar-SA"/>
        </w:rPr>
        <w:t>sche</w:t>
      </w:r>
      <w:r w:rsidR="002763BF">
        <w:rPr>
          <w:noProof/>
          <w:lang w:eastAsia="de-AT" w:bidi="ar-SA"/>
        </w:rPr>
        <w:t>n</w:t>
      </w:r>
      <w:r w:rsidRPr="0027216C">
        <w:rPr>
          <w:noProof/>
          <w:lang w:eastAsia="de-AT" w:bidi="ar-SA"/>
        </w:rPr>
        <w:t xml:space="preserve"> Kompressionssystemen, </w:t>
      </w:r>
      <w:r w:rsidR="0067735F" w:rsidRPr="0027216C">
        <w:rPr>
          <w:noProof/>
          <w:lang w:eastAsia="de-AT" w:bidi="ar-SA"/>
        </w:rPr>
        <w:t>druckentlas</w:t>
      </w:r>
      <w:r w:rsidR="00711A10">
        <w:rPr>
          <w:noProof/>
          <w:lang w:eastAsia="de-AT" w:bidi="ar-SA"/>
        </w:rPr>
        <w:softHyphen/>
      </w:r>
      <w:r w:rsidR="0067735F" w:rsidRPr="0027216C">
        <w:rPr>
          <w:noProof/>
          <w:lang w:eastAsia="de-AT" w:bidi="ar-SA"/>
        </w:rPr>
        <w:t>tende</w:t>
      </w:r>
      <w:r w:rsidR="002763BF">
        <w:rPr>
          <w:noProof/>
          <w:lang w:eastAsia="de-AT" w:bidi="ar-SA"/>
        </w:rPr>
        <w:t>n</w:t>
      </w:r>
      <w:r w:rsidR="0067735F" w:rsidRPr="0027216C">
        <w:rPr>
          <w:noProof/>
          <w:lang w:eastAsia="de-AT" w:bidi="ar-SA"/>
        </w:rPr>
        <w:t xml:space="preserve"> und</w:t>
      </w:r>
      <w:r w:rsidR="0067735F" w:rsidRPr="0027216C">
        <w:rPr>
          <w:rFonts w:cs="Lucida Sans Unicode"/>
          <w:b/>
          <w:bCs/>
        </w:rPr>
        <w:t xml:space="preserve"> </w:t>
      </w:r>
      <w:r w:rsidR="0067735F" w:rsidRPr="0027216C">
        <w:rPr>
          <w:noProof/>
          <w:lang w:eastAsia="de-AT" w:bidi="ar-SA"/>
        </w:rPr>
        <w:t>-</w:t>
      </w:r>
      <w:r w:rsidRPr="0027216C">
        <w:rPr>
          <w:noProof/>
          <w:lang w:eastAsia="de-AT" w:bidi="ar-SA"/>
        </w:rPr>
        <w:t>verteilende</w:t>
      </w:r>
      <w:r w:rsidR="002763BF">
        <w:rPr>
          <w:noProof/>
          <w:lang w:eastAsia="de-AT" w:bidi="ar-SA"/>
        </w:rPr>
        <w:t>n</w:t>
      </w:r>
      <w:r w:rsidRPr="0027216C">
        <w:rPr>
          <w:noProof/>
          <w:lang w:eastAsia="de-AT" w:bidi="ar-SA"/>
        </w:rPr>
        <w:t xml:space="preserve"> Unterlagen), </w:t>
      </w:r>
      <w:r w:rsidR="002763BF">
        <w:rPr>
          <w:noProof/>
          <w:lang w:eastAsia="de-AT" w:bidi="ar-SA"/>
        </w:rPr>
        <w:t>die</w:t>
      </w:r>
      <w:r w:rsidR="002763BF" w:rsidRPr="0027216C">
        <w:rPr>
          <w:noProof/>
          <w:lang w:eastAsia="de-AT" w:bidi="ar-SA"/>
        </w:rPr>
        <w:t xml:space="preserve"> </w:t>
      </w:r>
      <w:r w:rsidRPr="0027216C">
        <w:rPr>
          <w:noProof/>
          <w:lang w:eastAsia="de-AT" w:bidi="ar-SA"/>
        </w:rPr>
        <w:t>dem Bedarf der</w:t>
      </w:r>
      <w:r w:rsidR="00163AF2">
        <w:rPr>
          <w:noProof/>
          <w:lang w:eastAsia="de-AT" w:bidi="ar-SA"/>
        </w:rPr>
        <w:t xml:space="preserve"> Patientin bzw. </w:t>
      </w:r>
      <w:r w:rsidRPr="0027216C">
        <w:rPr>
          <w:noProof/>
          <w:lang w:eastAsia="de-AT" w:bidi="ar-SA"/>
        </w:rPr>
        <w:t>des Patient</w:t>
      </w:r>
      <w:r w:rsidR="00163AF2">
        <w:rPr>
          <w:noProof/>
          <w:lang w:eastAsia="de-AT" w:bidi="ar-SA"/>
        </w:rPr>
        <w:t>en</w:t>
      </w:r>
      <w:r w:rsidRPr="0027216C">
        <w:rPr>
          <w:noProof/>
          <w:lang w:eastAsia="de-AT" w:bidi="ar-SA"/>
        </w:rPr>
        <w:t xml:space="preserve"> entsprechen, soll in allen Versorgungsstufen und -situationen (z. B. Transport, Operatio</w:t>
      </w:r>
      <w:r w:rsidR="002763BF">
        <w:rPr>
          <w:noProof/>
          <w:lang w:eastAsia="de-AT" w:bidi="ar-SA"/>
        </w:rPr>
        <w:softHyphen/>
      </w:r>
      <w:r w:rsidRPr="0027216C">
        <w:rPr>
          <w:noProof/>
          <w:lang w:eastAsia="de-AT" w:bidi="ar-SA"/>
        </w:rPr>
        <w:t>nen) gewährleistet sein.</w:t>
      </w:r>
      <w:r w:rsidR="0030571B" w:rsidRPr="0027216C">
        <w:t xml:space="preserve"> </w:t>
      </w:r>
      <w:r w:rsidR="0030571B" w:rsidRPr="0027216C">
        <w:rPr>
          <w:noProof/>
          <w:lang w:eastAsia="de-AT" w:bidi="ar-SA"/>
        </w:rPr>
        <w:t xml:space="preserve">Transport- und Wartezeiten sind so kurz wie möglich zu halten. </w:t>
      </w:r>
    </w:p>
    <w:p w14:paraId="64BB5CA6" w14:textId="77777777" w:rsidR="007E3FAA" w:rsidRPr="0027216C" w:rsidRDefault="00A42038" w:rsidP="00827519">
      <w:pPr>
        <w:spacing w:before="360"/>
        <w:rPr>
          <w:rFonts w:eastAsia="Arial" w:cs="Lucida Sans Unicode"/>
          <w:b/>
          <w:bCs/>
          <w:color w:val="32466E"/>
          <w:szCs w:val="18"/>
        </w:rPr>
      </w:pPr>
      <w:r w:rsidRPr="0027216C">
        <w:rPr>
          <w:rFonts w:eastAsia="Arial" w:cs="Lucida Sans Unicode"/>
          <w:b/>
          <w:bCs/>
          <w:color w:val="32466E"/>
          <w:szCs w:val="18"/>
        </w:rPr>
        <w:t>Empfehlung 11:</w:t>
      </w:r>
    </w:p>
    <w:p w14:paraId="02DE4338" w14:textId="54FA21E0" w:rsidR="007E3FAA" w:rsidRPr="0027216C" w:rsidRDefault="00A42038">
      <w:pPr>
        <w:pBdr>
          <w:bottom w:val="single" w:sz="12" w:space="1" w:color="auto"/>
        </w:pBdr>
        <w:suppressAutoHyphens/>
        <w:spacing w:before="0"/>
        <w:jc w:val="left"/>
        <w:rPr>
          <w:rFonts w:eastAsia="Arial" w:cs="Lucida Sans Unicode"/>
          <w:b/>
          <w:bCs/>
          <w:color w:val="32466E"/>
          <w:szCs w:val="18"/>
        </w:rPr>
      </w:pPr>
      <w:r w:rsidRPr="0027216C">
        <w:rPr>
          <w:rFonts w:eastAsia="Arial" w:cs="Lucida Sans Unicode"/>
          <w:b/>
          <w:bCs/>
          <w:color w:val="32466E"/>
          <w:szCs w:val="18"/>
        </w:rPr>
        <w:t>Tele</w:t>
      </w:r>
      <w:r w:rsidR="00C35F50" w:rsidRPr="0027216C">
        <w:rPr>
          <w:rFonts w:eastAsia="Arial" w:cs="Lucida Sans Unicode"/>
          <w:b/>
          <w:bCs/>
          <w:color w:val="32466E"/>
          <w:szCs w:val="18"/>
        </w:rPr>
        <w:t>wundmanagement</w:t>
      </w:r>
    </w:p>
    <w:p w14:paraId="69BD4E81" w14:textId="6BD39C24" w:rsidR="007E3FAA" w:rsidRPr="0027216C" w:rsidRDefault="00A42038">
      <w:pPr>
        <w:spacing w:before="60" w:after="60" w:line="240" w:lineRule="auto"/>
        <w:rPr>
          <w:lang w:bidi="ar-SA"/>
        </w:rPr>
      </w:pPr>
      <w:r w:rsidRPr="0027216C">
        <w:rPr>
          <w:noProof/>
          <w:lang w:eastAsia="de-AT" w:bidi="ar-SA"/>
        </w:rPr>
        <w:drawing>
          <wp:anchor distT="0" distB="0" distL="114300" distR="114300" simplePos="0" relativeHeight="251764736" behindDoc="0" locked="0" layoutInCell="1" allowOverlap="1" wp14:anchorId="1CDAACA3" wp14:editId="0C1DB98B">
            <wp:simplePos x="0" y="0"/>
            <wp:positionH relativeFrom="margin">
              <wp:posOffset>2895600</wp:posOffset>
            </wp:positionH>
            <wp:positionV relativeFrom="paragraph">
              <wp:posOffset>95250</wp:posOffset>
            </wp:positionV>
            <wp:extent cx="590550" cy="509270"/>
            <wp:effectExtent l="0" t="0" r="0" b="5080"/>
            <wp:wrapSquare wrapText="bothSides"/>
            <wp:docPr id="19115624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67752" name="Grafik 1" descr="Ein Bild, das Schwarz, Dunkelheit enthält.&#10;&#10;Automatisch generierte Beschreibung"/>
                    <pic:cNvPicPr/>
                  </pic:nvPicPr>
                  <pic:blipFill rotWithShape="1">
                    <a:blip r:embed="rId23" cstate="print">
                      <a:extLst>
                        <a:ext uri="{28A0092B-C50C-407E-A947-70E740481C1C}">
                          <a14:useLocalDpi xmlns:a14="http://schemas.microsoft.com/office/drawing/2010/main" val="0"/>
                        </a:ext>
                      </a:extLst>
                    </a:blip>
                    <a:srcRect b="13804"/>
                    <a:stretch/>
                  </pic:blipFill>
                  <pic:spPr bwMode="auto">
                    <a:xfrm>
                      <a:off x="0" y="0"/>
                      <a:ext cx="590550" cy="509270"/>
                    </a:xfrm>
                    <a:prstGeom prst="rect">
                      <a:avLst/>
                    </a:prstGeom>
                    <a:ln>
                      <a:noFill/>
                    </a:ln>
                    <a:extLst>
                      <a:ext uri="{53640926-AAD7-44D8-BBD7-CCE9431645EC}">
                        <a14:shadowObscured xmlns:a14="http://schemas.microsoft.com/office/drawing/2010/main"/>
                      </a:ext>
                    </a:extLst>
                  </pic:spPr>
                </pic:pic>
              </a:graphicData>
            </a:graphic>
          </wp:anchor>
        </w:drawing>
      </w:r>
      <w:r w:rsidR="00C35F50" w:rsidRPr="0027216C">
        <w:rPr>
          <w:lang w:bidi="ar-SA"/>
        </w:rPr>
        <w:t>Der Einsatz von digitalen Telewundmanagement-Anwendungen zur Unterstützung der Versorgung von chronischen Wunden soll in Betracht gezogen werden</w:t>
      </w:r>
      <w:r w:rsidR="009D1966" w:rsidRPr="0027216C">
        <w:rPr>
          <w:lang w:bidi="ar-SA"/>
        </w:rPr>
        <w:t>, wenn die erforderlichen Rahmenbedingungen gegeben sind.</w:t>
      </w:r>
    </w:p>
    <w:p w14:paraId="3FB33C0A" w14:textId="77777777" w:rsidR="007E3FAA" w:rsidRPr="0027216C" w:rsidRDefault="007E3FAA">
      <w:pPr>
        <w:spacing w:before="60" w:after="60" w:line="240" w:lineRule="auto"/>
        <w:rPr>
          <w:lang w:bidi="ar-SA"/>
        </w:rPr>
      </w:pPr>
    </w:p>
    <w:p w14:paraId="5A1315E3" w14:textId="77777777" w:rsidR="007E3FAA" w:rsidRPr="0027216C" w:rsidRDefault="007E3FAA">
      <w:pPr>
        <w:spacing w:before="60" w:after="60" w:line="240" w:lineRule="auto"/>
        <w:rPr>
          <w:lang w:bidi="ar-SA"/>
        </w:rPr>
      </w:pPr>
    </w:p>
    <w:p w14:paraId="293B7F88" w14:textId="77777777" w:rsidR="007E3FAA" w:rsidRPr="0027216C" w:rsidRDefault="007E3FAA">
      <w:pPr>
        <w:spacing w:before="60" w:after="60" w:line="240" w:lineRule="auto"/>
        <w:rPr>
          <w:lang w:bidi="ar-SA"/>
        </w:rPr>
        <w:sectPr w:rsidR="007E3FAA" w:rsidRPr="0027216C">
          <w:type w:val="continuous"/>
          <w:pgSz w:w="11907" w:h="16840" w:code="9"/>
          <w:pgMar w:top="1361" w:right="1758" w:bottom="2211" w:left="1758" w:header="709" w:footer="1021" w:gutter="0"/>
          <w:paperSrc w:first="3" w:other="3"/>
          <w:pgNumType w:fmt="upperRoman" w:start="3"/>
          <w:cols w:num="2" w:space="720"/>
          <w:formProt w:val="0"/>
        </w:sectPr>
      </w:pPr>
    </w:p>
    <w:p w14:paraId="51B49C2F" w14:textId="77777777" w:rsidR="007F472A" w:rsidRPr="0027216C" w:rsidRDefault="007F472A" w:rsidP="007F472A">
      <w:pPr>
        <w:rPr>
          <w:lang w:val="de-DE"/>
        </w:rPr>
      </w:pPr>
    </w:p>
    <w:p w14:paraId="6A98449E" w14:textId="45A3E594" w:rsidR="007E3FAA" w:rsidRPr="0027216C" w:rsidRDefault="00A42038">
      <w:pPr>
        <w:pStyle w:val="berschrift"/>
      </w:pPr>
      <w:bookmarkStart w:id="23" w:name="_Toc211342048"/>
      <w:r w:rsidRPr="0027216C">
        <w:lastRenderedPageBreak/>
        <w:t>Kurzfassung</w:t>
      </w:r>
      <w:bookmarkEnd w:id="21"/>
      <w:bookmarkEnd w:id="22"/>
      <w:bookmarkEnd w:id="23"/>
    </w:p>
    <w:p w14:paraId="6E8D54C9" w14:textId="77777777" w:rsidR="007E3FAA" w:rsidRPr="0027216C" w:rsidRDefault="00A42038">
      <w:pPr>
        <w:rPr>
          <w:rFonts w:eastAsia="Times New Roman"/>
          <w:lang w:eastAsia="de-AT" w:bidi="ar-SA"/>
        </w:rPr>
      </w:pPr>
      <w:r w:rsidRPr="0027216C">
        <w:rPr>
          <w:rFonts w:eastAsia="Times New Roman"/>
          <w:lang w:eastAsia="de-AT" w:bidi="ar-SA"/>
        </w:rPr>
        <w:t>[wird nach der öffentlichen Konsultation ergänzt]</w:t>
      </w:r>
    </w:p>
    <w:p w14:paraId="3EFA98BB" w14:textId="77777777" w:rsidR="007E3FAA" w:rsidRPr="0027216C" w:rsidRDefault="00A42038">
      <w:pPr>
        <w:pStyle w:val="berschriftfett"/>
        <w:rPr>
          <w:rFonts w:eastAsia="Times New Roman"/>
          <w:color w:val="32466E"/>
          <w:lang w:eastAsia="de-AT" w:bidi="ar-SA"/>
        </w:rPr>
      </w:pPr>
      <w:r w:rsidRPr="0027216C">
        <w:rPr>
          <w:rFonts w:eastAsia="Times New Roman"/>
          <w:color w:val="32466E"/>
          <w:lang w:eastAsia="de-AT" w:bidi="ar-SA"/>
        </w:rPr>
        <w:t>Hintergrund und Ausgangslage</w:t>
      </w:r>
    </w:p>
    <w:p w14:paraId="2EC22590" w14:textId="77777777" w:rsidR="007E3FAA" w:rsidRPr="0027216C" w:rsidRDefault="00A42038">
      <w:r w:rsidRPr="0027216C">
        <w:fldChar w:fldCharType="begin">
          <w:ffData>
            <w:name w:val="Text20"/>
            <w:enabled/>
            <w:calcOnExit w:val="0"/>
            <w:textInput/>
          </w:ffData>
        </w:fldChar>
      </w:r>
      <w:r w:rsidRPr="0027216C">
        <w:instrText xml:space="preserve"> FORMTEXT </w:instrText>
      </w:r>
      <w:r w:rsidRPr="0027216C">
        <w:fldChar w:fldCharType="separate"/>
      </w:r>
      <w:r w:rsidRPr="0027216C">
        <w:t> </w:t>
      </w:r>
      <w:r w:rsidRPr="0027216C">
        <w:t> </w:t>
      </w:r>
      <w:r w:rsidRPr="0027216C">
        <w:t> </w:t>
      </w:r>
      <w:r w:rsidRPr="0027216C">
        <w:t> </w:t>
      </w:r>
      <w:r w:rsidRPr="0027216C">
        <w:t> </w:t>
      </w:r>
      <w:r w:rsidRPr="0027216C">
        <w:fldChar w:fldCharType="end"/>
      </w:r>
    </w:p>
    <w:sdt>
      <w:sdtPr>
        <w:rPr>
          <w:rFonts w:eastAsia="Times New Roman"/>
          <w:color w:val="32466E"/>
          <w:lang w:eastAsia="de-AT" w:bidi="ar-SA"/>
        </w:rPr>
        <w:alias w:val="wählen Sie ein Element aus"/>
        <w:tag w:val="wählen Sie ein Element aus"/>
        <w:id w:val="1026370317"/>
        <w:placeholder>
          <w:docPart w:val="3E306479C41A4F86899023BEFCF71A7F"/>
        </w:placeholder>
        <w15:color w:val="000000"/>
        <w:dropDownList>
          <w:listItem w:value="Wählen Sie ein Element aus."/>
          <w:listItem w:displayText="Methode" w:value="Methode"/>
          <w:listItem w:displayText="Methoden" w:value="Methoden"/>
        </w:dropDownList>
      </w:sdtPr>
      <w:sdtEndPr/>
      <w:sdtContent>
        <w:p w14:paraId="6927C0CE" w14:textId="77777777" w:rsidR="007E3FAA" w:rsidRPr="0027216C" w:rsidRDefault="00A42038">
          <w:pPr>
            <w:pStyle w:val="berschriftfett"/>
            <w:rPr>
              <w:rFonts w:eastAsia="Times New Roman"/>
              <w:color w:val="32466E"/>
              <w:lang w:eastAsia="de-AT" w:bidi="ar-SA"/>
            </w:rPr>
          </w:pPr>
          <w:r w:rsidRPr="0027216C">
            <w:rPr>
              <w:rFonts w:eastAsia="Times New Roman"/>
              <w:color w:val="32466E"/>
              <w:lang w:eastAsia="de-AT" w:bidi="ar-SA"/>
            </w:rPr>
            <w:t>Methode</w:t>
          </w:r>
        </w:p>
      </w:sdtContent>
    </w:sdt>
    <w:p w14:paraId="351C8138" w14:textId="77777777" w:rsidR="007E3FAA" w:rsidRPr="0027216C" w:rsidRDefault="00A42038">
      <w:r w:rsidRPr="0027216C">
        <w:fldChar w:fldCharType="begin">
          <w:ffData>
            <w:name w:val="Text20"/>
            <w:enabled/>
            <w:calcOnExit w:val="0"/>
            <w:textInput/>
          </w:ffData>
        </w:fldChar>
      </w:r>
      <w:r w:rsidRPr="0027216C">
        <w:instrText xml:space="preserve"> FORMTEXT </w:instrText>
      </w:r>
      <w:r w:rsidRPr="0027216C">
        <w:fldChar w:fldCharType="separate"/>
      </w:r>
      <w:r w:rsidRPr="0027216C">
        <w:t> </w:t>
      </w:r>
      <w:r w:rsidRPr="0027216C">
        <w:t> </w:t>
      </w:r>
      <w:r w:rsidRPr="0027216C">
        <w:t> </w:t>
      </w:r>
      <w:r w:rsidRPr="0027216C">
        <w:t> </w:t>
      </w:r>
      <w:r w:rsidRPr="0027216C">
        <w:t> </w:t>
      </w:r>
      <w:r w:rsidRPr="0027216C">
        <w:fldChar w:fldCharType="end"/>
      </w:r>
    </w:p>
    <w:p w14:paraId="219607C7" w14:textId="77777777" w:rsidR="007E3FAA" w:rsidRPr="0027216C" w:rsidRDefault="00A42038">
      <w:pPr>
        <w:pStyle w:val="berschriftfett"/>
        <w:rPr>
          <w:rFonts w:eastAsia="Times New Roman"/>
          <w:lang w:eastAsia="de-AT" w:bidi="ar-SA"/>
        </w:rPr>
      </w:pPr>
      <w:r w:rsidRPr="0027216C">
        <w:rPr>
          <w:rFonts w:eastAsia="Times New Roman"/>
          <w:lang w:eastAsia="de-AT" w:bidi="ar-SA"/>
        </w:rPr>
        <w:t>Empfehlungen</w:t>
      </w:r>
    </w:p>
    <w:p w14:paraId="13B52D3F" w14:textId="77777777" w:rsidR="007E3FAA" w:rsidRPr="0027216C" w:rsidRDefault="00A42038">
      <w:r w:rsidRPr="0027216C">
        <w:fldChar w:fldCharType="begin">
          <w:ffData>
            <w:name w:val="Text20"/>
            <w:enabled/>
            <w:calcOnExit w:val="0"/>
            <w:textInput/>
          </w:ffData>
        </w:fldChar>
      </w:r>
      <w:r w:rsidRPr="0027216C">
        <w:instrText xml:space="preserve"> FORMTEXT </w:instrText>
      </w:r>
      <w:r w:rsidRPr="0027216C">
        <w:fldChar w:fldCharType="separate"/>
      </w:r>
      <w:r w:rsidRPr="0027216C">
        <w:t> </w:t>
      </w:r>
      <w:r w:rsidRPr="0027216C">
        <w:t> </w:t>
      </w:r>
      <w:r w:rsidRPr="0027216C">
        <w:t> </w:t>
      </w:r>
      <w:r w:rsidRPr="0027216C">
        <w:t> </w:t>
      </w:r>
      <w:r w:rsidRPr="0027216C">
        <w:t> </w:t>
      </w:r>
      <w:r w:rsidRPr="0027216C">
        <w:fldChar w:fldCharType="end"/>
      </w:r>
    </w:p>
    <w:p w14:paraId="28957619" w14:textId="77777777" w:rsidR="007E3FAA" w:rsidRPr="0027216C" w:rsidRDefault="00A42038">
      <w:pPr>
        <w:pStyle w:val="berschriftfett"/>
        <w:rPr>
          <w:rFonts w:eastAsia="Times New Roman"/>
          <w:lang w:eastAsia="de-AT" w:bidi="ar-SA"/>
        </w:rPr>
      </w:pPr>
      <w:r w:rsidRPr="0027216C">
        <w:rPr>
          <w:rFonts w:eastAsia="Times New Roman"/>
          <w:lang w:eastAsia="de-AT" w:bidi="ar-SA"/>
        </w:rPr>
        <w:t>Gültigkeit und Evaluierung</w:t>
      </w:r>
    </w:p>
    <w:p w14:paraId="08E05701" w14:textId="77777777" w:rsidR="007E3FAA" w:rsidRPr="0027216C" w:rsidRDefault="00A42038">
      <w:r w:rsidRPr="0027216C">
        <w:fldChar w:fldCharType="begin">
          <w:ffData>
            <w:name w:val="Text20"/>
            <w:enabled/>
            <w:calcOnExit w:val="0"/>
            <w:textInput/>
          </w:ffData>
        </w:fldChar>
      </w:r>
      <w:r w:rsidRPr="0027216C">
        <w:instrText xml:space="preserve"> FORMTEXT </w:instrText>
      </w:r>
      <w:r w:rsidRPr="0027216C">
        <w:fldChar w:fldCharType="separate"/>
      </w:r>
      <w:r w:rsidRPr="0027216C">
        <w:t> </w:t>
      </w:r>
      <w:r w:rsidRPr="0027216C">
        <w:t> </w:t>
      </w:r>
      <w:r w:rsidRPr="0027216C">
        <w:t> </w:t>
      </w:r>
      <w:r w:rsidRPr="0027216C">
        <w:t> </w:t>
      </w:r>
      <w:r w:rsidRPr="0027216C">
        <w:t> </w:t>
      </w:r>
      <w:r w:rsidRPr="0027216C">
        <w:fldChar w:fldCharType="end"/>
      </w:r>
    </w:p>
    <w:p w14:paraId="21768480" w14:textId="77777777" w:rsidR="007E3FAA" w:rsidRPr="0027216C" w:rsidRDefault="00A42038">
      <w:pPr>
        <w:pStyle w:val="berschriftfett"/>
        <w:rPr>
          <w:rFonts w:eastAsia="Times New Roman"/>
          <w:lang w:eastAsia="de-AT" w:bidi="ar-SA"/>
        </w:rPr>
      </w:pPr>
      <w:r w:rsidRPr="0027216C">
        <w:rPr>
          <w:rFonts w:eastAsia="Times New Roman"/>
          <w:lang w:eastAsia="de-AT" w:bidi="ar-SA"/>
        </w:rPr>
        <w:t>Schlüsselwörter</w:t>
      </w:r>
    </w:p>
    <w:p w14:paraId="5AC5F2BF" w14:textId="77777777" w:rsidR="007E3FAA" w:rsidRPr="0027216C" w:rsidRDefault="00A42038">
      <w:r w:rsidRPr="0027216C">
        <w:fldChar w:fldCharType="begin">
          <w:ffData>
            <w:name w:val="Text20"/>
            <w:enabled/>
            <w:calcOnExit w:val="0"/>
            <w:textInput/>
          </w:ffData>
        </w:fldChar>
      </w:r>
      <w:r w:rsidRPr="0027216C">
        <w:instrText xml:space="preserve"> FORMTEXT </w:instrText>
      </w:r>
      <w:r w:rsidRPr="0027216C">
        <w:fldChar w:fldCharType="separate"/>
      </w:r>
      <w:r w:rsidRPr="0027216C">
        <w:t> </w:t>
      </w:r>
      <w:r w:rsidRPr="0027216C">
        <w:t> </w:t>
      </w:r>
      <w:r w:rsidRPr="0027216C">
        <w:t> </w:t>
      </w:r>
      <w:r w:rsidRPr="0027216C">
        <w:t> </w:t>
      </w:r>
      <w:r w:rsidRPr="0027216C">
        <w:t> </w:t>
      </w:r>
      <w:r w:rsidRPr="0027216C">
        <w:fldChar w:fldCharType="end"/>
      </w:r>
    </w:p>
    <w:p w14:paraId="76FE77D4" w14:textId="77777777" w:rsidR="007E3FAA" w:rsidRPr="0027216C" w:rsidRDefault="007E3FAA">
      <w:pPr>
        <w:pStyle w:val="Standard0"/>
      </w:pPr>
    </w:p>
    <w:p w14:paraId="1B47F62E" w14:textId="77777777" w:rsidR="007E3FAA" w:rsidRPr="0027216C" w:rsidRDefault="00A42038">
      <w:pPr>
        <w:pStyle w:val="berschrift"/>
        <w:outlineLvl w:val="9"/>
      </w:pPr>
      <w:r w:rsidRPr="0027216C">
        <w:lastRenderedPageBreak/>
        <w:t>Inhalt</w:t>
      </w:r>
    </w:p>
    <w:sdt>
      <w:sdtPr>
        <w:rPr>
          <w:b/>
          <w:bCs/>
          <w:noProof w:val="0"/>
        </w:rPr>
        <w:id w:val="1335428461"/>
        <w:docPartObj>
          <w:docPartGallery w:val="Table of Contents"/>
          <w:docPartUnique/>
        </w:docPartObj>
      </w:sdtPr>
      <w:sdtEndPr>
        <w:rPr>
          <w:b w:val="0"/>
          <w:bCs w:val="0"/>
          <w:noProof/>
        </w:rPr>
      </w:sdtEndPr>
      <w:sdtContent>
        <w:p w14:paraId="0F5CC5B6" w14:textId="59158E48" w:rsidR="006322D3" w:rsidRDefault="002C50B7">
          <w:pPr>
            <w:pStyle w:val="Verzeichnis1"/>
            <w:rPr>
              <w:rFonts w:asciiTheme="minorHAnsi" w:eastAsiaTheme="minorEastAsia" w:hAnsiTheme="minorHAnsi" w:cstheme="minorBidi"/>
              <w:kern w:val="2"/>
              <w:sz w:val="24"/>
              <w:szCs w:val="24"/>
              <w:lang w:val="de-DE" w:eastAsia="de-DE" w:bidi="ar-SA"/>
              <w14:ligatures w14:val="standardContextual"/>
            </w:rPr>
          </w:pPr>
          <w:r w:rsidRPr="0027216C">
            <w:fldChar w:fldCharType="begin"/>
          </w:r>
          <w:r w:rsidRPr="0027216C">
            <w:instrText xml:space="preserve"> TOC \o "1-2" \h \z \u </w:instrText>
          </w:r>
          <w:r w:rsidRPr="0027216C">
            <w:fldChar w:fldCharType="separate"/>
          </w:r>
          <w:hyperlink w:anchor="_Toc211342047" w:history="1">
            <w:r w:rsidR="006322D3" w:rsidRPr="003D490D">
              <w:rPr>
                <w:rStyle w:val="Hyperlink"/>
              </w:rPr>
              <w:t>Empfehlungen</w:t>
            </w:r>
            <w:r w:rsidR="006322D3">
              <w:rPr>
                <w:webHidden/>
              </w:rPr>
              <w:tab/>
            </w:r>
            <w:r w:rsidR="006322D3">
              <w:rPr>
                <w:webHidden/>
              </w:rPr>
              <w:fldChar w:fldCharType="begin"/>
            </w:r>
            <w:r w:rsidR="006322D3">
              <w:rPr>
                <w:webHidden/>
              </w:rPr>
              <w:instrText xml:space="preserve"> PAGEREF _Toc211342047 \h </w:instrText>
            </w:r>
            <w:r w:rsidR="006322D3">
              <w:rPr>
                <w:webHidden/>
              </w:rPr>
            </w:r>
            <w:r w:rsidR="006322D3">
              <w:rPr>
                <w:webHidden/>
              </w:rPr>
              <w:fldChar w:fldCharType="separate"/>
            </w:r>
            <w:r w:rsidR="006322D3">
              <w:rPr>
                <w:webHidden/>
              </w:rPr>
              <w:t>III</w:t>
            </w:r>
            <w:r w:rsidR="006322D3">
              <w:rPr>
                <w:webHidden/>
              </w:rPr>
              <w:fldChar w:fldCharType="end"/>
            </w:r>
          </w:hyperlink>
        </w:p>
        <w:p w14:paraId="75197D54" w14:textId="46CE4E7E"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48" w:history="1">
            <w:r w:rsidRPr="003D490D">
              <w:rPr>
                <w:rStyle w:val="Hyperlink"/>
              </w:rPr>
              <w:t>Kurzfassung</w:t>
            </w:r>
            <w:r>
              <w:rPr>
                <w:webHidden/>
              </w:rPr>
              <w:tab/>
            </w:r>
            <w:r>
              <w:rPr>
                <w:webHidden/>
              </w:rPr>
              <w:fldChar w:fldCharType="begin"/>
            </w:r>
            <w:r>
              <w:rPr>
                <w:webHidden/>
              </w:rPr>
              <w:instrText xml:space="preserve"> PAGEREF _Toc211342048 \h </w:instrText>
            </w:r>
            <w:r>
              <w:rPr>
                <w:webHidden/>
              </w:rPr>
            </w:r>
            <w:r>
              <w:rPr>
                <w:webHidden/>
              </w:rPr>
              <w:fldChar w:fldCharType="separate"/>
            </w:r>
            <w:r>
              <w:rPr>
                <w:webHidden/>
              </w:rPr>
              <w:t>V</w:t>
            </w:r>
            <w:r>
              <w:rPr>
                <w:webHidden/>
              </w:rPr>
              <w:fldChar w:fldCharType="end"/>
            </w:r>
          </w:hyperlink>
        </w:p>
        <w:p w14:paraId="6DE9F1C7" w14:textId="4593FEFB"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49" w:history="1">
            <w:r w:rsidRPr="003D490D">
              <w:rPr>
                <w:rStyle w:val="Hyperlink"/>
              </w:rPr>
              <w:t>Abbildungen</w:t>
            </w:r>
            <w:r>
              <w:rPr>
                <w:webHidden/>
              </w:rPr>
              <w:tab/>
            </w:r>
            <w:r>
              <w:rPr>
                <w:webHidden/>
              </w:rPr>
              <w:fldChar w:fldCharType="begin"/>
            </w:r>
            <w:r>
              <w:rPr>
                <w:webHidden/>
              </w:rPr>
              <w:instrText xml:space="preserve"> PAGEREF _Toc211342049 \h </w:instrText>
            </w:r>
            <w:r>
              <w:rPr>
                <w:webHidden/>
              </w:rPr>
            </w:r>
            <w:r>
              <w:rPr>
                <w:webHidden/>
              </w:rPr>
              <w:fldChar w:fldCharType="separate"/>
            </w:r>
            <w:r>
              <w:rPr>
                <w:webHidden/>
              </w:rPr>
              <w:t>VII</w:t>
            </w:r>
            <w:r>
              <w:rPr>
                <w:webHidden/>
              </w:rPr>
              <w:fldChar w:fldCharType="end"/>
            </w:r>
          </w:hyperlink>
        </w:p>
        <w:p w14:paraId="42ED5FA5" w14:textId="621B45F3"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50" w:history="1">
            <w:r w:rsidRPr="003D490D">
              <w:rPr>
                <w:rStyle w:val="Hyperlink"/>
              </w:rPr>
              <w:t>Tabellen</w:t>
            </w:r>
            <w:r>
              <w:rPr>
                <w:webHidden/>
              </w:rPr>
              <w:tab/>
            </w:r>
            <w:r>
              <w:rPr>
                <w:webHidden/>
              </w:rPr>
              <w:fldChar w:fldCharType="begin"/>
            </w:r>
            <w:r>
              <w:rPr>
                <w:webHidden/>
              </w:rPr>
              <w:instrText xml:space="preserve"> PAGEREF _Toc211342050 \h </w:instrText>
            </w:r>
            <w:r>
              <w:rPr>
                <w:webHidden/>
              </w:rPr>
            </w:r>
            <w:r>
              <w:rPr>
                <w:webHidden/>
              </w:rPr>
              <w:fldChar w:fldCharType="separate"/>
            </w:r>
            <w:r>
              <w:rPr>
                <w:webHidden/>
              </w:rPr>
              <w:t>VII</w:t>
            </w:r>
            <w:r>
              <w:rPr>
                <w:webHidden/>
              </w:rPr>
              <w:fldChar w:fldCharType="end"/>
            </w:r>
          </w:hyperlink>
        </w:p>
        <w:p w14:paraId="277B1CA0" w14:textId="741DC6E4"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51" w:history="1">
            <w:r w:rsidRPr="003D490D">
              <w:rPr>
                <w:rStyle w:val="Hyperlink"/>
              </w:rPr>
              <w:t>Abkürzungen</w:t>
            </w:r>
            <w:r>
              <w:rPr>
                <w:webHidden/>
              </w:rPr>
              <w:tab/>
            </w:r>
            <w:r>
              <w:rPr>
                <w:webHidden/>
              </w:rPr>
              <w:fldChar w:fldCharType="begin"/>
            </w:r>
            <w:r>
              <w:rPr>
                <w:webHidden/>
              </w:rPr>
              <w:instrText xml:space="preserve"> PAGEREF _Toc211342051 \h </w:instrText>
            </w:r>
            <w:r>
              <w:rPr>
                <w:webHidden/>
              </w:rPr>
            </w:r>
            <w:r>
              <w:rPr>
                <w:webHidden/>
              </w:rPr>
              <w:fldChar w:fldCharType="separate"/>
            </w:r>
            <w:r>
              <w:rPr>
                <w:webHidden/>
              </w:rPr>
              <w:t>VIII</w:t>
            </w:r>
            <w:r>
              <w:rPr>
                <w:webHidden/>
              </w:rPr>
              <w:fldChar w:fldCharType="end"/>
            </w:r>
          </w:hyperlink>
        </w:p>
        <w:p w14:paraId="3905FE3E" w14:textId="597AB82C"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52" w:history="1">
            <w:r w:rsidRPr="003D490D">
              <w:rPr>
                <w:rStyle w:val="Hyperlink"/>
              </w:rPr>
              <w:t>Glossar</w:t>
            </w:r>
            <w:r>
              <w:rPr>
                <w:webHidden/>
              </w:rPr>
              <w:tab/>
            </w:r>
            <w:r>
              <w:rPr>
                <w:webHidden/>
              </w:rPr>
              <w:fldChar w:fldCharType="begin"/>
            </w:r>
            <w:r>
              <w:rPr>
                <w:webHidden/>
              </w:rPr>
              <w:instrText xml:space="preserve"> PAGEREF _Toc211342052 \h </w:instrText>
            </w:r>
            <w:r>
              <w:rPr>
                <w:webHidden/>
              </w:rPr>
            </w:r>
            <w:r>
              <w:rPr>
                <w:webHidden/>
              </w:rPr>
              <w:fldChar w:fldCharType="separate"/>
            </w:r>
            <w:r>
              <w:rPr>
                <w:webHidden/>
              </w:rPr>
              <w:t>IX</w:t>
            </w:r>
            <w:r>
              <w:rPr>
                <w:webHidden/>
              </w:rPr>
              <w:fldChar w:fldCharType="end"/>
            </w:r>
          </w:hyperlink>
        </w:p>
        <w:p w14:paraId="35F75B61" w14:textId="7A3472CA"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53" w:history="1">
            <w:r w:rsidRPr="003D490D">
              <w:rPr>
                <w:rStyle w:val="Hyperlink"/>
              </w:rPr>
              <w:t>1</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Ausgangslage und Hintergrund</w:t>
            </w:r>
            <w:r>
              <w:rPr>
                <w:webHidden/>
              </w:rPr>
              <w:tab/>
            </w:r>
            <w:r>
              <w:rPr>
                <w:webHidden/>
              </w:rPr>
              <w:fldChar w:fldCharType="begin"/>
            </w:r>
            <w:r>
              <w:rPr>
                <w:webHidden/>
              </w:rPr>
              <w:instrText xml:space="preserve"> PAGEREF _Toc211342053 \h </w:instrText>
            </w:r>
            <w:r>
              <w:rPr>
                <w:webHidden/>
              </w:rPr>
            </w:r>
            <w:r>
              <w:rPr>
                <w:webHidden/>
              </w:rPr>
              <w:fldChar w:fldCharType="separate"/>
            </w:r>
            <w:r>
              <w:rPr>
                <w:webHidden/>
              </w:rPr>
              <w:t>1</w:t>
            </w:r>
            <w:r>
              <w:rPr>
                <w:webHidden/>
              </w:rPr>
              <w:fldChar w:fldCharType="end"/>
            </w:r>
          </w:hyperlink>
        </w:p>
        <w:p w14:paraId="6D795D52" w14:textId="21342ADD"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54" w:history="1">
            <w:r w:rsidRPr="003D490D">
              <w:rPr>
                <w:rStyle w:val="Hyperlink"/>
              </w:rPr>
              <w:t>1.1</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Betroffene Personengruppe</w:t>
            </w:r>
            <w:r>
              <w:rPr>
                <w:webHidden/>
              </w:rPr>
              <w:tab/>
            </w:r>
            <w:r>
              <w:rPr>
                <w:webHidden/>
              </w:rPr>
              <w:fldChar w:fldCharType="begin"/>
            </w:r>
            <w:r>
              <w:rPr>
                <w:webHidden/>
              </w:rPr>
              <w:instrText xml:space="preserve"> PAGEREF _Toc211342054 \h </w:instrText>
            </w:r>
            <w:r>
              <w:rPr>
                <w:webHidden/>
              </w:rPr>
            </w:r>
            <w:r>
              <w:rPr>
                <w:webHidden/>
              </w:rPr>
              <w:fldChar w:fldCharType="separate"/>
            </w:r>
            <w:r>
              <w:rPr>
                <w:webHidden/>
              </w:rPr>
              <w:t>1</w:t>
            </w:r>
            <w:r>
              <w:rPr>
                <w:webHidden/>
              </w:rPr>
              <w:fldChar w:fldCharType="end"/>
            </w:r>
          </w:hyperlink>
        </w:p>
        <w:p w14:paraId="63FDFEC2" w14:textId="3381095E"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55" w:history="1">
            <w:r w:rsidRPr="003D490D">
              <w:rPr>
                <w:rStyle w:val="Hyperlink"/>
                <w:lang w:val="de-DE"/>
              </w:rPr>
              <w:t>1.2</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lang w:val="de-DE"/>
              </w:rPr>
              <w:t>Versorgungssituation in Österreich</w:t>
            </w:r>
            <w:r>
              <w:rPr>
                <w:webHidden/>
              </w:rPr>
              <w:tab/>
            </w:r>
            <w:r>
              <w:rPr>
                <w:webHidden/>
              </w:rPr>
              <w:fldChar w:fldCharType="begin"/>
            </w:r>
            <w:r>
              <w:rPr>
                <w:webHidden/>
              </w:rPr>
              <w:instrText xml:space="preserve"> PAGEREF _Toc211342055 \h </w:instrText>
            </w:r>
            <w:r>
              <w:rPr>
                <w:webHidden/>
              </w:rPr>
            </w:r>
            <w:r>
              <w:rPr>
                <w:webHidden/>
              </w:rPr>
              <w:fldChar w:fldCharType="separate"/>
            </w:r>
            <w:r>
              <w:rPr>
                <w:webHidden/>
              </w:rPr>
              <w:t>3</w:t>
            </w:r>
            <w:r>
              <w:rPr>
                <w:webHidden/>
              </w:rPr>
              <w:fldChar w:fldCharType="end"/>
            </w:r>
          </w:hyperlink>
        </w:p>
        <w:p w14:paraId="22234EF1" w14:textId="59EFB32F"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56" w:history="1">
            <w:r w:rsidRPr="003D490D">
              <w:rPr>
                <w:rStyle w:val="Hyperlink"/>
                <w:lang w:val="de-DE"/>
              </w:rPr>
              <w:t>1.3</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lang w:val="de-DE"/>
              </w:rPr>
              <w:t>Fehlende Leitlinie und Versorgungspfad in Österreich</w:t>
            </w:r>
            <w:r>
              <w:rPr>
                <w:webHidden/>
              </w:rPr>
              <w:tab/>
            </w:r>
            <w:r>
              <w:rPr>
                <w:webHidden/>
              </w:rPr>
              <w:fldChar w:fldCharType="begin"/>
            </w:r>
            <w:r>
              <w:rPr>
                <w:webHidden/>
              </w:rPr>
              <w:instrText xml:space="preserve"> PAGEREF _Toc211342056 \h </w:instrText>
            </w:r>
            <w:r>
              <w:rPr>
                <w:webHidden/>
              </w:rPr>
            </w:r>
            <w:r>
              <w:rPr>
                <w:webHidden/>
              </w:rPr>
              <w:fldChar w:fldCharType="separate"/>
            </w:r>
            <w:r>
              <w:rPr>
                <w:webHidden/>
              </w:rPr>
              <w:t>4</w:t>
            </w:r>
            <w:r>
              <w:rPr>
                <w:webHidden/>
              </w:rPr>
              <w:fldChar w:fldCharType="end"/>
            </w:r>
          </w:hyperlink>
        </w:p>
        <w:p w14:paraId="3F982DB2" w14:textId="05C1CB83"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57" w:history="1">
            <w:r w:rsidRPr="003D490D">
              <w:rPr>
                <w:rStyle w:val="Hyperlink"/>
              </w:rPr>
              <w:t>1.4</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Spezifische Adressatinnen und Adressaten</w:t>
            </w:r>
            <w:r>
              <w:rPr>
                <w:webHidden/>
              </w:rPr>
              <w:tab/>
            </w:r>
            <w:r>
              <w:rPr>
                <w:webHidden/>
              </w:rPr>
              <w:fldChar w:fldCharType="begin"/>
            </w:r>
            <w:r>
              <w:rPr>
                <w:webHidden/>
              </w:rPr>
              <w:instrText xml:space="preserve"> PAGEREF _Toc211342057 \h </w:instrText>
            </w:r>
            <w:r>
              <w:rPr>
                <w:webHidden/>
              </w:rPr>
            </w:r>
            <w:r>
              <w:rPr>
                <w:webHidden/>
              </w:rPr>
              <w:fldChar w:fldCharType="separate"/>
            </w:r>
            <w:r>
              <w:rPr>
                <w:webHidden/>
              </w:rPr>
              <w:t>4</w:t>
            </w:r>
            <w:r>
              <w:rPr>
                <w:webHidden/>
              </w:rPr>
              <w:fldChar w:fldCharType="end"/>
            </w:r>
          </w:hyperlink>
        </w:p>
        <w:p w14:paraId="4C1DDDB4" w14:textId="5053D7C2"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58" w:history="1">
            <w:r w:rsidRPr="003D490D">
              <w:rPr>
                <w:rStyle w:val="Hyperlink"/>
              </w:rPr>
              <w:t>1.5</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Ziel des QS Integrierte Versorgung Chronische Wunden</w:t>
            </w:r>
            <w:r>
              <w:rPr>
                <w:webHidden/>
              </w:rPr>
              <w:tab/>
            </w:r>
            <w:r>
              <w:rPr>
                <w:webHidden/>
              </w:rPr>
              <w:fldChar w:fldCharType="begin"/>
            </w:r>
            <w:r>
              <w:rPr>
                <w:webHidden/>
              </w:rPr>
              <w:instrText xml:space="preserve"> PAGEREF _Toc211342058 \h </w:instrText>
            </w:r>
            <w:r>
              <w:rPr>
                <w:webHidden/>
              </w:rPr>
            </w:r>
            <w:r>
              <w:rPr>
                <w:webHidden/>
              </w:rPr>
              <w:fldChar w:fldCharType="separate"/>
            </w:r>
            <w:r>
              <w:rPr>
                <w:webHidden/>
              </w:rPr>
              <w:t>5</w:t>
            </w:r>
            <w:r>
              <w:rPr>
                <w:webHidden/>
              </w:rPr>
              <w:fldChar w:fldCharType="end"/>
            </w:r>
          </w:hyperlink>
        </w:p>
        <w:p w14:paraId="30CF2CA4" w14:textId="166B57C0"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59" w:history="1">
            <w:r w:rsidRPr="003D490D">
              <w:rPr>
                <w:rStyle w:val="Hyperlink"/>
              </w:rPr>
              <w:t>1.6</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Nichtziele</w:t>
            </w:r>
            <w:r>
              <w:rPr>
                <w:webHidden/>
              </w:rPr>
              <w:tab/>
            </w:r>
            <w:r>
              <w:rPr>
                <w:webHidden/>
              </w:rPr>
              <w:fldChar w:fldCharType="begin"/>
            </w:r>
            <w:r>
              <w:rPr>
                <w:webHidden/>
              </w:rPr>
              <w:instrText xml:space="preserve"> PAGEREF _Toc211342059 \h </w:instrText>
            </w:r>
            <w:r>
              <w:rPr>
                <w:webHidden/>
              </w:rPr>
            </w:r>
            <w:r>
              <w:rPr>
                <w:webHidden/>
              </w:rPr>
              <w:fldChar w:fldCharType="separate"/>
            </w:r>
            <w:r>
              <w:rPr>
                <w:webHidden/>
              </w:rPr>
              <w:t>5</w:t>
            </w:r>
            <w:r>
              <w:rPr>
                <w:webHidden/>
              </w:rPr>
              <w:fldChar w:fldCharType="end"/>
            </w:r>
          </w:hyperlink>
        </w:p>
        <w:p w14:paraId="16F058C9" w14:textId="66566771"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60" w:history="1">
            <w:r w:rsidRPr="003D490D">
              <w:rPr>
                <w:rStyle w:val="Hyperlink"/>
              </w:rPr>
              <w:t>1.7</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Potenzieller Nutzen des QS</w:t>
            </w:r>
            <w:r>
              <w:rPr>
                <w:webHidden/>
              </w:rPr>
              <w:tab/>
            </w:r>
            <w:r>
              <w:rPr>
                <w:webHidden/>
              </w:rPr>
              <w:fldChar w:fldCharType="begin"/>
            </w:r>
            <w:r>
              <w:rPr>
                <w:webHidden/>
              </w:rPr>
              <w:instrText xml:space="preserve"> PAGEREF _Toc211342060 \h </w:instrText>
            </w:r>
            <w:r>
              <w:rPr>
                <w:webHidden/>
              </w:rPr>
            </w:r>
            <w:r>
              <w:rPr>
                <w:webHidden/>
              </w:rPr>
              <w:fldChar w:fldCharType="separate"/>
            </w:r>
            <w:r>
              <w:rPr>
                <w:webHidden/>
              </w:rPr>
              <w:t>5</w:t>
            </w:r>
            <w:r>
              <w:rPr>
                <w:webHidden/>
              </w:rPr>
              <w:fldChar w:fldCharType="end"/>
            </w:r>
          </w:hyperlink>
        </w:p>
        <w:p w14:paraId="1D8ADC41" w14:textId="6346C1CD"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61" w:history="1">
            <w:r w:rsidRPr="003D490D">
              <w:rPr>
                <w:rStyle w:val="Hyperlink"/>
              </w:rPr>
              <w:t>2</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Methode</w:t>
            </w:r>
            <w:r>
              <w:rPr>
                <w:webHidden/>
              </w:rPr>
              <w:tab/>
            </w:r>
            <w:r>
              <w:rPr>
                <w:webHidden/>
              </w:rPr>
              <w:fldChar w:fldCharType="begin"/>
            </w:r>
            <w:r>
              <w:rPr>
                <w:webHidden/>
              </w:rPr>
              <w:instrText xml:space="preserve"> PAGEREF _Toc211342061 \h </w:instrText>
            </w:r>
            <w:r>
              <w:rPr>
                <w:webHidden/>
              </w:rPr>
            </w:r>
            <w:r>
              <w:rPr>
                <w:webHidden/>
              </w:rPr>
              <w:fldChar w:fldCharType="separate"/>
            </w:r>
            <w:r>
              <w:rPr>
                <w:webHidden/>
              </w:rPr>
              <w:t>6</w:t>
            </w:r>
            <w:r>
              <w:rPr>
                <w:webHidden/>
              </w:rPr>
              <w:fldChar w:fldCharType="end"/>
            </w:r>
          </w:hyperlink>
        </w:p>
        <w:p w14:paraId="73307D28" w14:textId="220A8610"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62" w:history="1">
            <w:r w:rsidRPr="003D490D">
              <w:rPr>
                <w:rStyle w:val="Hyperlink"/>
              </w:rPr>
              <w:t>2.1</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Grundlagendokumente</w:t>
            </w:r>
            <w:r>
              <w:rPr>
                <w:webHidden/>
              </w:rPr>
              <w:tab/>
            </w:r>
            <w:r>
              <w:rPr>
                <w:webHidden/>
              </w:rPr>
              <w:fldChar w:fldCharType="begin"/>
            </w:r>
            <w:r>
              <w:rPr>
                <w:webHidden/>
              </w:rPr>
              <w:instrText xml:space="preserve"> PAGEREF _Toc211342062 \h </w:instrText>
            </w:r>
            <w:r>
              <w:rPr>
                <w:webHidden/>
              </w:rPr>
            </w:r>
            <w:r>
              <w:rPr>
                <w:webHidden/>
              </w:rPr>
              <w:fldChar w:fldCharType="separate"/>
            </w:r>
            <w:r>
              <w:rPr>
                <w:webHidden/>
              </w:rPr>
              <w:t>6</w:t>
            </w:r>
            <w:r>
              <w:rPr>
                <w:webHidden/>
              </w:rPr>
              <w:fldChar w:fldCharType="end"/>
            </w:r>
          </w:hyperlink>
        </w:p>
        <w:p w14:paraId="263E55AE" w14:textId="267B338E"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63" w:history="1">
            <w:r w:rsidRPr="003D490D">
              <w:rPr>
                <w:rStyle w:val="Hyperlink"/>
              </w:rPr>
              <w:t>2.2</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Erstellung der Empfehlungen</w:t>
            </w:r>
            <w:r>
              <w:rPr>
                <w:webHidden/>
              </w:rPr>
              <w:tab/>
            </w:r>
            <w:r>
              <w:rPr>
                <w:webHidden/>
              </w:rPr>
              <w:fldChar w:fldCharType="begin"/>
            </w:r>
            <w:r>
              <w:rPr>
                <w:webHidden/>
              </w:rPr>
              <w:instrText xml:space="preserve"> PAGEREF _Toc211342063 \h </w:instrText>
            </w:r>
            <w:r>
              <w:rPr>
                <w:webHidden/>
              </w:rPr>
            </w:r>
            <w:r>
              <w:rPr>
                <w:webHidden/>
              </w:rPr>
              <w:fldChar w:fldCharType="separate"/>
            </w:r>
            <w:r>
              <w:rPr>
                <w:webHidden/>
              </w:rPr>
              <w:t>6</w:t>
            </w:r>
            <w:r>
              <w:rPr>
                <w:webHidden/>
              </w:rPr>
              <w:fldChar w:fldCharType="end"/>
            </w:r>
          </w:hyperlink>
        </w:p>
        <w:p w14:paraId="4069A849" w14:textId="3FB9F00C"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64" w:history="1">
            <w:r w:rsidRPr="003D490D">
              <w:rPr>
                <w:rStyle w:val="Hyperlink"/>
              </w:rPr>
              <w:t>2.3</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Evidenzbasis und Evidenzstärke</w:t>
            </w:r>
            <w:r>
              <w:rPr>
                <w:webHidden/>
              </w:rPr>
              <w:tab/>
            </w:r>
            <w:r>
              <w:rPr>
                <w:webHidden/>
              </w:rPr>
              <w:fldChar w:fldCharType="begin"/>
            </w:r>
            <w:r>
              <w:rPr>
                <w:webHidden/>
              </w:rPr>
              <w:instrText xml:space="preserve"> PAGEREF _Toc211342064 \h </w:instrText>
            </w:r>
            <w:r>
              <w:rPr>
                <w:webHidden/>
              </w:rPr>
            </w:r>
            <w:r>
              <w:rPr>
                <w:webHidden/>
              </w:rPr>
              <w:fldChar w:fldCharType="separate"/>
            </w:r>
            <w:r>
              <w:rPr>
                <w:webHidden/>
              </w:rPr>
              <w:t>7</w:t>
            </w:r>
            <w:r>
              <w:rPr>
                <w:webHidden/>
              </w:rPr>
              <w:fldChar w:fldCharType="end"/>
            </w:r>
          </w:hyperlink>
        </w:p>
        <w:p w14:paraId="3069DB93" w14:textId="791BCC82"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65" w:history="1">
            <w:r w:rsidRPr="003D490D">
              <w:rPr>
                <w:rStyle w:val="Hyperlink"/>
              </w:rPr>
              <w:t>2.4</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Empfehlungsgrad</w:t>
            </w:r>
            <w:r>
              <w:rPr>
                <w:webHidden/>
              </w:rPr>
              <w:tab/>
            </w:r>
            <w:r>
              <w:rPr>
                <w:webHidden/>
              </w:rPr>
              <w:fldChar w:fldCharType="begin"/>
            </w:r>
            <w:r>
              <w:rPr>
                <w:webHidden/>
              </w:rPr>
              <w:instrText xml:space="preserve"> PAGEREF _Toc211342065 \h </w:instrText>
            </w:r>
            <w:r>
              <w:rPr>
                <w:webHidden/>
              </w:rPr>
            </w:r>
            <w:r>
              <w:rPr>
                <w:webHidden/>
              </w:rPr>
              <w:fldChar w:fldCharType="separate"/>
            </w:r>
            <w:r>
              <w:rPr>
                <w:webHidden/>
              </w:rPr>
              <w:t>7</w:t>
            </w:r>
            <w:r>
              <w:rPr>
                <w:webHidden/>
              </w:rPr>
              <w:fldChar w:fldCharType="end"/>
            </w:r>
          </w:hyperlink>
        </w:p>
        <w:p w14:paraId="6819752F" w14:textId="19A95C8E"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66" w:history="1">
            <w:r w:rsidRPr="003D490D">
              <w:rPr>
                <w:rStyle w:val="Hyperlink"/>
              </w:rPr>
              <w:t>2.5</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Qualitätssicherung</w:t>
            </w:r>
            <w:r>
              <w:rPr>
                <w:webHidden/>
              </w:rPr>
              <w:tab/>
            </w:r>
            <w:r>
              <w:rPr>
                <w:webHidden/>
              </w:rPr>
              <w:fldChar w:fldCharType="begin"/>
            </w:r>
            <w:r>
              <w:rPr>
                <w:webHidden/>
              </w:rPr>
              <w:instrText xml:space="preserve"> PAGEREF _Toc211342066 \h </w:instrText>
            </w:r>
            <w:r>
              <w:rPr>
                <w:webHidden/>
              </w:rPr>
            </w:r>
            <w:r>
              <w:rPr>
                <w:webHidden/>
              </w:rPr>
              <w:fldChar w:fldCharType="separate"/>
            </w:r>
            <w:r>
              <w:rPr>
                <w:webHidden/>
              </w:rPr>
              <w:t>8</w:t>
            </w:r>
            <w:r>
              <w:rPr>
                <w:webHidden/>
              </w:rPr>
              <w:fldChar w:fldCharType="end"/>
            </w:r>
          </w:hyperlink>
        </w:p>
        <w:p w14:paraId="33B183A9" w14:textId="54F8FDB3"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67" w:history="1">
            <w:r w:rsidRPr="003D490D">
              <w:rPr>
                <w:rStyle w:val="Hyperlink"/>
              </w:rPr>
              <w:t>2.6</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Abnahme durch die Zielsteuerungsgremien und bundesweite Umsetzung</w:t>
            </w:r>
            <w:r>
              <w:rPr>
                <w:webHidden/>
              </w:rPr>
              <w:tab/>
            </w:r>
            <w:r>
              <w:rPr>
                <w:webHidden/>
              </w:rPr>
              <w:fldChar w:fldCharType="begin"/>
            </w:r>
            <w:r>
              <w:rPr>
                <w:webHidden/>
              </w:rPr>
              <w:instrText xml:space="preserve"> PAGEREF _Toc211342067 \h </w:instrText>
            </w:r>
            <w:r>
              <w:rPr>
                <w:webHidden/>
              </w:rPr>
            </w:r>
            <w:r>
              <w:rPr>
                <w:webHidden/>
              </w:rPr>
              <w:fldChar w:fldCharType="separate"/>
            </w:r>
            <w:r>
              <w:rPr>
                <w:webHidden/>
              </w:rPr>
              <w:t>8</w:t>
            </w:r>
            <w:r>
              <w:rPr>
                <w:webHidden/>
              </w:rPr>
              <w:fldChar w:fldCharType="end"/>
            </w:r>
          </w:hyperlink>
        </w:p>
        <w:p w14:paraId="3C14C056" w14:textId="297B566B"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68" w:history="1">
            <w:r w:rsidRPr="003D490D">
              <w:rPr>
                <w:rStyle w:val="Hyperlink"/>
              </w:rPr>
              <w:t>3</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Empfehlungen</w:t>
            </w:r>
            <w:r>
              <w:rPr>
                <w:webHidden/>
              </w:rPr>
              <w:tab/>
            </w:r>
            <w:r>
              <w:rPr>
                <w:webHidden/>
              </w:rPr>
              <w:fldChar w:fldCharType="begin"/>
            </w:r>
            <w:r>
              <w:rPr>
                <w:webHidden/>
              </w:rPr>
              <w:instrText xml:space="preserve"> PAGEREF _Toc211342068 \h </w:instrText>
            </w:r>
            <w:r>
              <w:rPr>
                <w:webHidden/>
              </w:rPr>
            </w:r>
            <w:r>
              <w:rPr>
                <w:webHidden/>
              </w:rPr>
              <w:fldChar w:fldCharType="separate"/>
            </w:r>
            <w:r>
              <w:rPr>
                <w:webHidden/>
              </w:rPr>
              <w:t>9</w:t>
            </w:r>
            <w:r>
              <w:rPr>
                <w:webHidden/>
              </w:rPr>
              <w:fldChar w:fldCharType="end"/>
            </w:r>
          </w:hyperlink>
        </w:p>
        <w:p w14:paraId="03238A33" w14:textId="0425AA3B"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69" w:history="1">
            <w:r w:rsidRPr="003D490D">
              <w:rPr>
                <w:rStyle w:val="Hyperlink"/>
              </w:rPr>
              <w:t>3.1</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1: Prävention und Früherkennung</w:t>
            </w:r>
            <w:r>
              <w:rPr>
                <w:webHidden/>
              </w:rPr>
              <w:tab/>
            </w:r>
            <w:r>
              <w:rPr>
                <w:webHidden/>
              </w:rPr>
              <w:fldChar w:fldCharType="begin"/>
            </w:r>
            <w:r>
              <w:rPr>
                <w:webHidden/>
              </w:rPr>
              <w:instrText xml:space="preserve"> PAGEREF _Toc211342069 \h </w:instrText>
            </w:r>
            <w:r>
              <w:rPr>
                <w:webHidden/>
              </w:rPr>
            </w:r>
            <w:r>
              <w:rPr>
                <w:webHidden/>
              </w:rPr>
              <w:fldChar w:fldCharType="separate"/>
            </w:r>
            <w:r>
              <w:rPr>
                <w:webHidden/>
              </w:rPr>
              <w:t>9</w:t>
            </w:r>
            <w:r>
              <w:rPr>
                <w:webHidden/>
              </w:rPr>
              <w:fldChar w:fldCharType="end"/>
            </w:r>
          </w:hyperlink>
        </w:p>
        <w:p w14:paraId="057969AC" w14:textId="09E6E014"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70" w:history="1">
            <w:r w:rsidRPr="003D490D">
              <w:rPr>
                <w:rStyle w:val="Hyperlink"/>
              </w:rPr>
              <w:t>3.2</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2: Multiprofessionelle Anamnese</w:t>
            </w:r>
            <w:r>
              <w:rPr>
                <w:webHidden/>
              </w:rPr>
              <w:tab/>
            </w:r>
            <w:r>
              <w:rPr>
                <w:webHidden/>
              </w:rPr>
              <w:fldChar w:fldCharType="begin"/>
            </w:r>
            <w:r>
              <w:rPr>
                <w:webHidden/>
              </w:rPr>
              <w:instrText xml:space="preserve"> PAGEREF _Toc211342070 \h </w:instrText>
            </w:r>
            <w:r>
              <w:rPr>
                <w:webHidden/>
              </w:rPr>
            </w:r>
            <w:r>
              <w:rPr>
                <w:webHidden/>
              </w:rPr>
              <w:fldChar w:fldCharType="separate"/>
            </w:r>
            <w:r>
              <w:rPr>
                <w:webHidden/>
              </w:rPr>
              <w:t>10</w:t>
            </w:r>
            <w:r>
              <w:rPr>
                <w:webHidden/>
              </w:rPr>
              <w:fldChar w:fldCharType="end"/>
            </w:r>
          </w:hyperlink>
        </w:p>
        <w:p w14:paraId="1DD7A63C" w14:textId="206CF7FD"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71" w:history="1">
            <w:r w:rsidRPr="003D490D">
              <w:rPr>
                <w:rStyle w:val="Hyperlink"/>
              </w:rPr>
              <w:t>3.3</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3: Leitlinienkonforme Diagnose, Ursachen- bestimmung und Therapie</w:t>
            </w:r>
            <w:r>
              <w:rPr>
                <w:webHidden/>
              </w:rPr>
              <w:tab/>
            </w:r>
            <w:r>
              <w:rPr>
                <w:webHidden/>
              </w:rPr>
              <w:fldChar w:fldCharType="begin"/>
            </w:r>
            <w:r>
              <w:rPr>
                <w:webHidden/>
              </w:rPr>
              <w:instrText xml:space="preserve"> PAGEREF _Toc211342071 \h </w:instrText>
            </w:r>
            <w:r>
              <w:rPr>
                <w:webHidden/>
              </w:rPr>
            </w:r>
            <w:r>
              <w:rPr>
                <w:webHidden/>
              </w:rPr>
              <w:fldChar w:fldCharType="separate"/>
            </w:r>
            <w:r>
              <w:rPr>
                <w:webHidden/>
              </w:rPr>
              <w:t>11</w:t>
            </w:r>
            <w:r>
              <w:rPr>
                <w:webHidden/>
              </w:rPr>
              <w:fldChar w:fldCharType="end"/>
            </w:r>
          </w:hyperlink>
        </w:p>
        <w:p w14:paraId="7510FF7C" w14:textId="31849654"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72" w:history="1">
            <w:r w:rsidRPr="003D490D">
              <w:rPr>
                <w:rStyle w:val="Hyperlink"/>
              </w:rPr>
              <w:t>3.4</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4: Versorgungspfad im Sinne einer abgestuften Versorgung</w:t>
            </w:r>
            <w:r>
              <w:rPr>
                <w:webHidden/>
              </w:rPr>
              <w:tab/>
            </w:r>
            <w:r>
              <w:rPr>
                <w:webHidden/>
              </w:rPr>
              <w:fldChar w:fldCharType="begin"/>
            </w:r>
            <w:r>
              <w:rPr>
                <w:webHidden/>
              </w:rPr>
              <w:instrText xml:space="preserve"> PAGEREF _Toc211342072 \h </w:instrText>
            </w:r>
            <w:r>
              <w:rPr>
                <w:webHidden/>
              </w:rPr>
            </w:r>
            <w:r>
              <w:rPr>
                <w:webHidden/>
              </w:rPr>
              <w:fldChar w:fldCharType="separate"/>
            </w:r>
            <w:r>
              <w:rPr>
                <w:webHidden/>
              </w:rPr>
              <w:t>13</w:t>
            </w:r>
            <w:r>
              <w:rPr>
                <w:webHidden/>
              </w:rPr>
              <w:fldChar w:fldCharType="end"/>
            </w:r>
          </w:hyperlink>
        </w:p>
        <w:p w14:paraId="282635BE" w14:textId="6385DC22"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73" w:history="1">
            <w:r w:rsidRPr="003D490D">
              <w:rPr>
                <w:rStyle w:val="Hyperlink"/>
              </w:rPr>
              <w:t>3.5</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5: Schriftlicher interprofessioneller  Behandlungsplan</w:t>
            </w:r>
            <w:r>
              <w:rPr>
                <w:webHidden/>
              </w:rPr>
              <w:tab/>
            </w:r>
            <w:r>
              <w:rPr>
                <w:webHidden/>
              </w:rPr>
              <w:fldChar w:fldCharType="begin"/>
            </w:r>
            <w:r>
              <w:rPr>
                <w:webHidden/>
              </w:rPr>
              <w:instrText xml:space="preserve"> PAGEREF _Toc211342073 \h </w:instrText>
            </w:r>
            <w:r>
              <w:rPr>
                <w:webHidden/>
              </w:rPr>
            </w:r>
            <w:r>
              <w:rPr>
                <w:webHidden/>
              </w:rPr>
              <w:fldChar w:fldCharType="separate"/>
            </w:r>
            <w:r>
              <w:rPr>
                <w:webHidden/>
              </w:rPr>
              <w:t>17</w:t>
            </w:r>
            <w:r>
              <w:rPr>
                <w:webHidden/>
              </w:rPr>
              <w:fldChar w:fldCharType="end"/>
            </w:r>
          </w:hyperlink>
        </w:p>
        <w:p w14:paraId="5CE8754A" w14:textId="362D4DEC"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74" w:history="1">
            <w:r w:rsidRPr="003D490D">
              <w:rPr>
                <w:rStyle w:val="Hyperlink"/>
              </w:rPr>
              <w:t>3.6</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6: Lokaltherapeutische Versorgung</w:t>
            </w:r>
            <w:r>
              <w:rPr>
                <w:webHidden/>
              </w:rPr>
              <w:tab/>
            </w:r>
            <w:r>
              <w:rPr>
                <w:webHidden/>
              </w:rPr>
              <w:fldChar w:fldCharType="begin"/>
            </w:r>
            <w:r>
              <w:rPr>
                <w:webHidden/>
              </w:rPr>
              <w:instrText xml:space="preserve"> PAGEREF _Toc211342074 \h </w:instrText>
            </w:r>
            <w:r>
              <w:rPr>
                <w:webHidden/>
              </w:rPr>
            </w:r>
            <w:r>
              <w:rPr>
                <w:webHidden/>
              </w:rPr>
              <w:fldChar w:fldCharType="separate"/>
            </w:r>
            <w:r>
              <w:rPr>
                <w:webHidden/>
              </w:rPr>
              <w:t>18</w:t>
            </w:r>
            <w:r>
              <w:rPr>
                <w:webHidden/>
              </w:rPr>
              <w:fldChar w:fldCharType="end"/>
            </w:r>
          </w:hyperlink>
        </w:p>
        <w:p w14:paraId="5CE88BB8" w14:textId="10809CFE"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75" w:history="1">
            <w:r w:rsidRPr="003D490D">
              <w:rPr>
                <w:rStyle w:val="Hyperlink"/>
              </w:rPr>
              <w:t>3.7</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7: Wundbeurteilung und Dokumentation</w:t>
            </w:r>
            <w:r>
              <w:rPr>
                <w:webHidden/>
              </w:rPr>
              <w:tab/>
            </w:r>
            <w:r>
              <w:rPr>
                <w:webHidden/>
              </w:rPr>
              <w:fldChar w:fldCharType="begin"/>
            </w:r>
            <w:r>
              <w:rPr>
                <w:webHidden/>
              </w:rPr>
              <w:instrText xml:space="preserve"> PAGEREF _Toc211342075 \h </w:instrText>
            </w:r>
            <w:r>
              <w:rPr>
                <w:webHidden/>
              </w:rPr>
            </w:r>
            <w:r>
              <w:rPr>
                <w:webHidden/>
              </w:rPr>
              <w:fldChar w:fldCharType="separate"/>
            </w:r>
            <w:r>
              <w:rPr>
                <w:webHidden/>
              </w:rPr>
              <w:t>19</w:t>
            </w:r>
            <w:r>
              <w:rPr>
                <w:webHidden/>
              </w:rPr>
              <w:fldChar w:fldCharType="end"/>
            </w:r>
          </w:hyperlink>
        </w:p>
        <w:p w14:paraId="60450B00" w14:textId="54C0DE3F"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76" w:history="1">
            <w:r w:rsidRPr="003D490D">
              <w:rPr>
                <w:rStyle w:val="Hyperlink"/>
              </w:rPr>
              <w:t>3.8</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8: Vorgehen bei fehlender Heilungstendenz</w:t>
            </w:r>
            <w:r>
              <w:rPr>
                <w:webHidden/>
              </w:rPr>
              <w:tab/>
            </w:r>
            <w:r>
              <w:rPr>
                <w:webHidden/>
              </w:rPr>
              <w:fldChar w:fldCharType="begin"/>
            </w:r>
            <w:r>
              <w:rPr>
                <w:webHidden/>
              </w:rPr>
              <w:instrText xml:space="preserve"> PAGEREF _Toc211342076 \h </w:instrText>
            </w:r>
            <w:r>
              <w:rPr>
                <w:webHidden/>
              </w:rPr>
            </w:r>
            <w:r>
              <w:rPr>
                <w:webHidden/>
              </w:rPr>
              <w:fldChar w:fldCharType="separate"/>
            </w:r>
            <w:r>
              <w:rPr>
                <w:webHidden/>
              </w:rPr>
              <w:t>20</w:t>
            </w:r>
            <w:r>
              <w:rPr>
                <w:webHidden/>
              </w:rPr>
              <w:fldChar w:fldCharType="end"/>
            </w:r>
          </w:hyperlink>
        </w:p>
        <w:p w14:paraId="53C3F430" w14:textId="55A29DEF"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77" w:history="1">
            <w:r w:rsidRPr="003D490D">
              <w:rPr>
                <w:rStyle w:val="Hyperlink"/>
              </w:rPr>
              <w:t>3.9</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9: Patienteninformation, -schulung und  -beratung</w:t>
            </w:r>
            <w:r>
              <w:rPr>
                <w:webHidden/>
              </w:rPr>
              <w:tab/>
            </w:r>
            <w:r>
              <w:rPr>
                <w:webHidden/>
              </w:rPr>
              <w:fldChar w:fldCharType="begin"/>
            </w:r>
            <w:r>
              <w:rPr>
                <w:webHidden/>
              </w:rPr>
              <w:instrText xml:space="preserve"> PAGEREF _Toc211342077 \h </w:instrText>
            </w:r>
            <w:r>
              <w:rPr>
                <w:webHidden/>
              </w:rPr>
            </w:r>
            <w:r>
              <w:rPr>
                <w:webHidden/>
              </w:rPr>
              <w:fldChar w:fldCharType="separate"/>
            </w:r>
            <w:r>
              <w:rPr>
                <w:webHidden/>
              </w:rPr>
              <w:t>21</w:t>
            </w:r>
            <w:r>
              <w:rPr>
                <w:webHidden/>
              </w:rPr>
              <w:fldChar w:fldCharType="end"/>
            </w:r>
          </w:hyperlink>
        </w:p>
        <w:p w14:paraId="1F7BB293" w14:textId="2674C697"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78" w:history="1">
            <w:r w:rsidRPr="003D490D">
              <w:rPr>
                <w:rStyle w:val="Hyperlink"/>
              </w:rPr>
              <w:t>3.10</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10: Hilfsmittel/Heilbehelfe/Kompression</w:t>
            </w:r>
            <w:r>
              <w:rPr>
                <w:webHidden/>
              </w:rPr>
              <w:tab/>
            </w:r>
            <w:r>
              <w:rPr>
                <w:webHidden/>
              </w:rPr>
              <w:fldChar w:fldCharType="begin"/>
            </w:r>
            <w:r>
              <w:rPr>
                <w:webHidden/>
              </w:rPr>
              <w:instrText xml:space="preserve"> PAGEREF _Toc211342078 \h </w:instrText>
            </w:r>
            <w:r>
              <w:rPr>
                <w:webHidden/>
              </w:rPr>
            </w:r>
            <w:r>
              <w:rPr>
                <w:webHidden/>
              </w:rPr>
              <w:fldChar w:fldCharType="separate"/>
            </w:r>
            <w:r>
              <w:rPr>
                <w:webHidden/>
              </w:rPr>
              <w:t>22</w:t>
            </w:r>
            <w:r>
              <w:rPr>
                <w:webHidden/>
              </w:rPr>
              <w:fldChar w:fldCharType="end"/>
            </w:r>
          </w:hyperlink>
        </w:p>
        <w:p w14:paraId="677E82C6" w14:textId="5A8EC2A8" w:rsidR="006322D3" w:rsidRDefault="006322D3">
          <w:pPr>
            <w:pStyle w:val="Verzeichnis2"/>
            <w:rPr>
              <w:rFonts w:asciiTheme="minorHAnsi" w:eastAsiaTheme="minorEastAsia" w:hAnsiTheme="minorHAnsi" w:cstheme="minorBidi"/>
              <w:kern w:val="2"/>
              <w:sz w:val="24"/>
              <w:szCs w:val="24"/>
              <w:lang w:val="de-DE" w:eastAsia="de-DE" w:bidi="ar-SA"/>
              <w14:ligatures w14:val="standardContextual"/>
            </w:rPr>
          </w:pPr>
          <w:hyperlink w:anchor="_Toc211342079" w:history="1">
            <w:r w:rsidRPr="003D490D">
              <w:rPr>
                <w:rStyle w:val="Hyperlink"/>
              </w:rPr>
              <w:t>3.11</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Empfehlung 11: Telewundmanagement</w:t>
            </w:r>
            <w:r>
              <w:rPr>
                <w:webHidden/>
              </w:rPr>
              <w:tab/>
            </w:r>
            <w:r>
              <w:rPr>
                <w:webHidden/>
              </w:rPr>
              <w:fldChar w:fldCharType="begin"/>
            </w:r>
            <w:r>
              <w:rPr>
                <w:webHidden/>
              </w:rPr>
              <w:instrText xml:space="preserve"> PAGEREF _Toc211342079 \h </w:instrText>
            </w:r>
            <w:r>
              <w:rPr>
                <w:webHidden/>
              </w:rPr>
            </w:r>
            <w:r>
              <w:rPr>
                <w:webHidden/>
              </w:rPr>
              <w:fldChar w:fldCharType="separate"/>
            </w:r>
            <w:r>
              <w:rPr>
                <w:webHidden/>
              </w:rPr>
              <w:t>23</w:t>
            </w:r>
            <w:r>
              <w:rPr>
                <w:webHidden/>
              </w:rPr>
              <w:fldChar w:fldCharType="end"/>
            </w:r>
          </w:hyperlink>
        </w:p>
        <w:p w14:paraId="7B6BC9CE" w14:textId="5D26BAAB"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80" w:history="1">
            <w:r w:rsidRPr="003D490D">
              <w:rPr>
                <w:rStyle w:val="Hyperlink"/>
              </w:rPr>
              <w:t>4</w:t>
            </w:r>
            <w:r>
              <w:rPr>
                <w:rFonts w:asciiTheme="minorHAnsi" w:eastAsiaTheme="minorEastAsia" w:hAnsiTheme="minorHAnsi" w:cstheme="minorBidi"/>
                <w:kern w:val="2"/>
                <w:sz w:val="24"/>
                <w:szCs w:val="24"/>
                <w:lang w:val="de-DE" w:eastAsia="de-DE" w:bidi="ar-SA"/>
                <w14:ligatures w14:val="standardContextual"/>
              </w:rPr>
              <w:tab/>
            </w:r>
            <w:r w:rsidRPr="003D490D">
              <w:rPr>
                <w:rStyle w:val="Hyperlink"/>
              </w:rPr>
              <w:t>Gültigkeitsdauer, Evaluierung und  Aktualisierungsbedarf</w:t>
            </w:r>
            <w:r>
              <w:rPr>
                <w:webHidden/>
              </w:rPr>
              <w:tab/>
            </w:r>
            <w:r>
              <w:rPr>
                <w:webHidden/>
              </w:rPr>
              <w:fldChar w:fldCharType="begin"/>
            </w:r>
            <w:r>
              <w:rPr>
                <w:webHidden/>
              </w:rPr>
              <w:instrText xml:space="preserve"> PAGEREF _Toc211342080 \h </w:instrText>
            </w:r>
            <w:r>
              <w:rPr>
                <w:webHidden/>
              </w:rPr>
            </w:r>
            <w:r>
              <w:rPr>
                <w:webHidden/>
              </w:rPr>
              <w:fldChar w:fldCharType="separate"/>
            </w:r>
            <w:r>
              <w:rPr>
                <w:webHidden/>
              </w:rPr>
              <w:t>24</w:t>
            </w:r>
            <w:r>
              <w:rPr>
                <w:webHidden/>
              </w:rPr>
              <w:fldChar w:fldCharType="end"/>
            </w:r>
          </w:hyperlink>
        </w:p>
        <w:p w14:paraId="7129E8E8" w14:textId="33175D49"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81" w:history="1">
            <w:r w:rsidRPr="003D490D">
              <w:rPr>
                <w:rStyle w:val="Hyperlink"/>
                <w:lang w:val="en-US"/>
              </w:rPr>
              <w:t>Literatur</w:t>
            </w:r>
            <w:r>
              <w:rPr>
                <w:webHidden/>
              </w:rPr>
              <w:tab/>
            </w:r>
            <w:r>
              <w:rPr>
                <w:webHidden/>
              </w:rPr>
              <w:fldChar w:fldCharType="begin"/>
            </w:r>
            <w:r>
              <w:rPr>
                <w:webHidden/>
              </w:rPr>
              <w:instrText xml:space="preserve"> PAGEREF _Toc211342081 \h </w:instrText>
            </w:r>
            <w:r>
              <w:rPr>
                <w:webHidden/>
              </w:rPr>
            </w:r>
            <w:r>
              <w:rPr>
                <w:webHidden/>
              </w:rPr>
              <w:fldChar w:fldCharType="separate"/>
            </w:r>
            <w:r>
              <w:rPr>
                <w:webHidden/>
              </w:rPr>
              <w:t>25</w:t>
            </w:r>
            <w:r>
              <w:rPr>
                <w:webHidden/>
              </w:rPr>
              <w:fldChar w:fldCharType="end"/>
            </w:r>
          </w:hyperlink>
        </w:p>
        <w:p w14:paraId="6FD8FCE5" w14:textId="37CDC3D9"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82" w:history="1">
            <w:r w:rsidRPr="003D490D">
              <w:rPr>
                <w:rStyle w:val="Hyperlink"/>
              </w:rPr>
              <w:t>Anhang</w:t>
            </w:r>
            <w:r>
              <w:rPr>
                <w:webHidden/>
              </w:rPr>
              <w:tab/>
            </w:r>
            <w:r>
              <w:rPr>
                <w:webHidden/>
              </w:rPr>
              <w:fldChar w:fldCharType="begin"/>
            </w:r>
            <w:r>
              <w:rPr>
                <w:webHidden/>
              </w:rPr>
              <w:instrText xml:space="preserve"> PAGEREF _Toc211342082 \h </w:instrText>
            </w:r>
            <w:r>
              <w:rPr>
                <w:webHidden/>
              </w:rPr>
            </w:r>
            <w:r>
              <w:rPr>
                <w:webHidden/>
              </w:rPr>
              <w:fldChar w:fldCharType="separate"/>
            </w:r>
            <w:r>
              <w:rPr>
                <w:webHidden/>
              </w:rPr>
              <w:t>30</w:t>
            </w:r>
            <w:r>
              <w:rPr>
                <w:webHidden/>
              </w:rPr>
              <w:fldChar w:fldCharType="end"/>
            </w:r>
          </w:hyperlink>
        </w:p>
        <w:p w14:paraId="726ADDB1" w14:textId="6D403779" w:rsidR="006322D3" w:rsidRDefault="006322D3">
          <w:pPr>
            <w:pStyle w:val="Verzeichnis1"/>
            <w:rPr>
              <w:rFonts w:asciiTheme="minorHAnsi" w:eastAsiaTheme="minorEastAsia" w:hAnsiTheme="minorHAnsi" w:cstheme="minorBidi"/>
              <w:kern w:val="2"/>
              <w:sz w:val="24"/>
              <w:szCs w:val="24"/>
              <w:lang w:val="de-DE" w:eastAsia="de-DE" w:bidi="ar-SA"/>
              <w14:ligatures w14:val="standardContextual"/>
            </w:rPr>
          </w:pPr>
          <w:hyperlink w:anchor="_Toc211342083" w:history="1">
            <w:r w:rsidRPr="003D490D">
              <w:rPr>
                <w:rStyle w:val="Hyperlink"/>
              </w:rPr>
              <w:t>Urheber- und Rechteangaben Symbolbilder</w:t>
            </w:r>
            <w:r>
              <w:rPr>
                <w:webHidden/>
              </w:rPr>
              <w:tab/>
            </w:r>
            <w:r>
              <w:rPr>
                <w:webHidden/>
              </w:rPr>
              <w:fldChar w:fldCharType="begin"/>
            </w:r>
            <w:r>
              <w:rPr>
                <w:webHidden/>
              </w:rPr>
              <w:instrText xml:space="preserve"> PAGEREF _Toc211342083 \h </w:instrText>
            </w:r>
            <w:r>
              <w:rPr>
                <w:webHidden/>
              </w:rPr>
            </w:r>
            <w:r>
              <w:rPr>
                <w:webHidden/>
              </w:rPr>
              <w:fldChar w:fldCharType="separate"/>
            </w:r>
            <w:r>
              <w:rPr>
                <w:webHidden/>
              </w:rPr>
              <w:t>31</w:t>
            </w:r>
            <w:r>
              <w:rPr>
                <w:webHidden/>
              </w:rPr>
              <w:fldChar w:fldCharType="end"/>
            </w:r>
          </w:hyperlink>
        </w:p>
        <w:p w14:paraId="286E543E" w14:textId="08C7BCED" w:rsidR="007E3FAA" w:rsidRPr="0027216C" w:rsidRDefault="002C50B7" w:rsidP="002C50B7">
          <w:pPr>
            <w:pStyle w:val="Verzeichnis1"/>
          </w:pPr>
          <w:r w:rsidRPr="0027216C">
            <w:fldChar w:fldCharType="end"/>
          </w:r>
        </w:p>
      </w:sdtContent>
    </w:sdt>
    <w:p w14:paraId="2BA29183" w14:textId="77777777" w:rsidR="007E3FAA" w:rsidRPr="0027216C" w:rsidRDefault="007E3FAA">
      <w:pPr>
        <w:rPr>
          <w:b/>
          <w:bCs/>
        </w:rPr>
      </w:pPr>
    </w:p>
    <w:p w14:paraId="16B527E8" w14:textId="77777777" w:rsidR="007E3FAA" w:rsidRPr="0027216C" w:rsidRDefault="00A42038">
      <w:pPr>
        <w:pStyle w:val="berschrift"/>
        <w:spacing w:after="240"/>
      </w:pPr>
      <w:bookmarkStart w:id="24" w:name="_Toc158040221"/>
      <w:bookmarkStart w:id="25" w:name="_Toc159508430"/>
      <w:bookmarkStart w:id="26" w:name="_Toc211342049"/>
      <w:r w:rsidRPr="0027216C">
        <w:lastRenderedPageBreak/>
        <w:t>Abbildungen</w:t>
      </w:r>
      <w:bookmarkEnd w:id="24"/>
      <w:bookmarkEnd w:id="25"/>
      <w:bookmarkEnd w:id="26"/>
    </w:p>
    <w:p w14:paraId="350F9C02" w14:textId="02019376" w:rsidR="007E3FAA" w:rsidRPr="0027216C" w:rsidRDefault="002165C0">
      <w:r w:rsidRPr="0027216C">
        <w:rPr>
          <w:rFonts w:eastAsia="Times New Roman"/>
          <w:lang w:eastAsia="de-AT" w:bidi="ar-SA"/>
        </w:rPr>
        <w:t>[wird nach der öffentlichen Konsultation ergänzt]</w:t>
      </w:r>
    </w:p>
    <w:p w14:paraId="32E0C455" w14:textId="77777777" w:rsidR="007E3FAA" w:rsidRPr="0027216C" w:rsidRDefault="007E3FAA"/>
    <w:p w14:paraId="73D8AEEB" w14:textId="77777777" w:rsidR="007E3FAA" w:rsidRPr="0027216C" w:rsidRDefault="00A42038">
      <w:pPr>
        <w:pStyle w:val="berschrift"/>
        <w:pageBreakBefore w:val="0"/>
        <w:spacing w:after="240"/>
      </w:pPr>
      <w:bookmarkStart w:id="27" w:name="_Toc211342050"/>
      <w:r w:rsidRPr="0027216C">
        <w:t>Tabellen</w:t>
      </w:r>
      <w:bookmarkEnd w:id="27"/>
      <w:r w:rsidRPr="0027216C">
        <w:t xml:space="preserve"> </w:t>
      </w:r>
    </w:p>
    <w:p w14:paraId="5904F2B2" w14:textId="3EF3F011" w:rsidR="00AE5135" w:rsidRPr="00AE5135" w:rsidRDefault="002165C0">
      <w:pPr>
        <w:rPr>
          <w:rFonts w:eastAsia="Times New Roman"/>
          <w:lang w:eastAsia="de-AT" w:bidi="ar-SA"/>
        </w:rPr>
      </w:pPr>
      <w:r w:rsidRPr="0027216C">
        <w:rPr>
          <w:rFonts w:eastAsia="Times New Roman"/>
          <w:lang w:eastAsia="de-AT" w:bidi="ar-SA"/>
        </w:rPr>
        <w:t>[wird nach der öffentlichen Konsultation ergänzt]</w:t>
      </w:r>
    </w:p>
    <w:p w14:paraId="65DB95D6" w14:textId="77777777" w:rsidR="007E3FAA" w:rsidRPr="0027216C" w:rsidRDefault="00A42038">
      <w:pPr>
        <w:pStyle w:val="berschrift"/>
      </w:pPr>
      <w:bookmarkStart w:id="28" w:name="_Toc158040223"/>
      <w:bookmarkStart w:id="29" w:name="_Toc159508432"/>
      <w:bookmarkStart w:id="30" w:name="_Toc211342051"/>
      <w:r w:rsidRPr="0027216C">
        <w:lastRenderedPageBreak/>
        <w:t>Abkürzungen</w:t>
      </w:r>
      <w:bookmarkEnd w:id="28"/>
      <w:bookmarkEnd w:id="29"/>
      <w:bookmarkEnd w:id="30"/>
      <w:r w:rsidRPr="0027216C">
        <w:t xml:space="preserve"> </w:t>
      </w:r>
    </w:p>
    <w:p w14:paraId="341022E9" w14:textId="77777777" w:rsidR="007E3FAA" w:rsidRPr="0027216C" w:rsidRDefault="00A42038">
      <w:pPr>
        <w:pStyle w:val="Abkrzungsverzeichnis"/>
        <w:ind w:left="0" w:firstLine="0"/>
      </w:pPr>
      <w:proofErr w:type="gramStart"/>
      <w:r w:rsidRPr="0027216C">
        <w:t>AWMF</w:t>
      </w:r>
      <w:r w:rsidRPr="0027216C">
        <w:tab/>
        <w:t>Arbeitsgemeinschaft</w:t>
      </w:r>
      <w:proofErr w:type="gramEnd"/>
      <w:r w:rsidRPr="0027216C">
        <w:t xml:space="preserve"> der Wissenschaftlichen Medizinischen Fachgesellschaften</w:t>
      </w:r>
    </w:p>
    <w:p w14:paraId="6A181B42" w14:textId="77777777" w:rsidR="007E3FAA" w:rsidRPr="0027216C" w:rsidRDefault="00A42038">
      <w:pPr>
        <w:pStyle w:val="Abkrzungsverzeichnis"/>
        <w:ind w:left="0" w:firstLine="0"/>
      </w:pPr>
      <w:r w:rsidRPr="0027216C">
        <w:t>BMSGPK</w:t>
      </w:r>
      <w:r w:rsidRPr="0027216C">
        <w:tab/>
        <w:t>Bundesministerium für Soziales, Gesundheit, Pflege und Konsumentenschutz</w:t>
      </w:r>
    </w:p>
    <w:p w14:paraId="39DAB248" w14:textId="77777777" w:rsidR="007E3FAA" w:rsidRPr="0027216C" w:rsidRDefault="00A42038">
      <w:pPr>
        <w:pStyle w:val="Abkrzungsverzeichnis"/>
        <w:rPr>
          <w:lang w:val="de-DE"/>
        </w:rPr>
      </w:pPr>
      <w:r w:rsidRPr="0027216C">
        <w:rPr>
          <w:lang w:val="de-DE"/>
        </w:rPr>
        <w:t>CVI</w:t>
      </w:r>
      <w:r w:rsidRPr="0027216C">
        <w:rPr>
          <w:lang w:val="de-DE"/>
        </w:rPr>
        <w:tab/>
        <w:t>chronisch venöse Insuffizienz</w:t>
      </w:r>
    </w:p>
    <w:p w14:paraId="15F63EF0" w14:textId="52CEE767" w:rsidR="007E3FAA" w:rsidRPr="0027216C" w:rsidRDefault="00A42038">
      <w:pPr>
        <w:pStyle w:val="Abkrzungsverzeichnis"/>
        <w:rPr>
          <w:lang w:val="de-DE"/>
        </w:rPr>
      </w:pPr>
      <w:r w:rsidRPr="0027216C">
        <w:t>DGKP</w:t>
      </w:r>
      <w:r w:rsidRPr="0027216C">
        <w:tab/>
      </w:r>
      <w:r w:rsidR="001816B6">
        <w:t>d</w:t>
      </w:r>
      <w:r w:rsidRPr="0027216C">
        <w:t xml:space="preserve">iplomierte Gesundheits- und </w:t>
      </w:r>
      <w:proofErr w:type="spellStart"/>
      <w:proofErr w:type="gramStart"/>
      <w:r w:rsidRPr="0027216C">
        <w:t>Krankenpfleger:innen</w:t>
      </w:r>
      <w:proofErr w:type="spellEnd"/>
      <w:proofErr w:type="gramEnd"/>
    </w:p>
    <w:p w14:paraId="22D93B4E" w14:textId="7D02EA8A" w:rsidR="007E3FAA" w:rsidRPr="0027216C" w:rsidRDefault="00A42038">
      <w:pPr>
        <w:pStyle w:val="Abkrzungsverzeichnis"/>
        <w:rPr>
          <w:lang w:val="en-US"/>
        </w:rPr>
      </w:pPr>
      <w:r w:rsidRPr="0027216C">
        <w:rPr>
          <w:lang w:val="en-US"/>
        </w:rPr>
        <w:t>DM</w:t>
      </w:r>
      <w:r w:rsidRPr="0027216C">
        <w:rPr>
          <w:lang w:val="en-US"/>
        </w:rPr>
        <w:tab/>
        <w:t>Diabetes mellitus</w:t>
      </w:r>
    </w:p>
    <w:p w14:paraId="02C4E912" w14:textId="77777777" w:rsidR="007E3FAA" w:rsidRPr="0027216C" w:rsidRDefault="00A42038">
      <w:pPr>
        <w:pStyle w:val="Abkrzungsverzeichnis"/>
        <w:rPr>
          <w:lang w:val="en-US"/>
        </w:rPr>
      </w:pPr>
      <w:r w:rsidRPr="0027216C">
        <w:rPr>
          <w:lang w:val="en-US"/>
        </w:rPr>
        <w:t>EPUAP</w:t>
      </w:r>
      <w:r w:rsidRPr="0027216C">
        <w:rPr>
          <w:lang w:val="en-US"/>
        </w:rPr>
        <w:tab/>
        <w:t>European Pressure Ulcer Advisory Panel</w:t>
      </w:r>
    </w:p>
    <w:p w14:paraId="572E00D3" w14:textId="77777777" w:rsidR="007E3FAA" w:rsidRPr="0027216C" w:rsidRDefault="00A42038">
      <w:pPr>
        <w:pStyle w:val="Abkrzungsverzeichnis"/>
      </w:pPr>
      <w:r w:rsidRPr="0027216C">
        <w:t>FG VP</w:t>
      </w:r>
      <w:r w:rsidRPr="0027216C">
        <w:tab/>
        <w:t>Fachgruppe Versorgungsprozesse</w:t>
      </w:r>
    </w:p>
    <w:p w14:paraId="1AE27BB8" w14:textId="77777777" w:rsidR="007E3FAA" w:rsidRPr="0027216C" w:rsidRDefault="00A42038">
      <w:pPr>
        <w:pStyle w:val="Abkrzungsverzeichnis"/>
      </w:pPr>
      <w:r w:rsidRPr="0027216C">
        <w:t>GDA</w:t>
      </w:r>
      <w:r w:rsidRPr="0027216C">
        <w:tab/>
      </w:r>
      <w:proofErr w:type="spellStart"/>
      <w:proofErr w:type="gramStart"/>
      <w:r w:rsidRPr="0027216C">
        <w:t>Gesundheitsdiensteanbieter:innen</w:t>
      </w:r>
      <w:proofErr w:type="spellEnd"/>
      <w:proofErr w:type="gramEnd"/>
    </w:p>
    <w:p w14:paraId="68D3265B" w14:textId="77777777" w:rsidR="001816B6" w:rsidRPr="0027216C" w:rsidRDefault="001816B6" w:rsidP="001816B6">
      <w:pPr>
        <w:pStyle w:val="Abkrzungsverzeichnis"/>
      </w:pPr>
      <w:proofErr w:type="gramStart"/>
      <w:r w:rsidRPr="0027216C">
        <w:t>GÖG</w:t>
      </w:r>
      <w:r w:rsidRPr="0027216C">
        <w:tab/>
        <w:t>Gesundheit</w:t>
      </w:r>
      <w:proofErr w:type="gramEnd"/>
      <w:r w:rsidRPr="0027216C">
        <w:t xml:space="preserve"> Österreich GmbH</w:t>
      </w:r>
    </w:p>
    <w:p w14:paraId="38E6750E" w14:textId="17C62D94" w:rsidR="00A8206B" w:rsidRPr="0027216C" w:rsidRDefault="00A8206B">
      <w:pPr>
        <w:pStyle w:val="Abkrzungsverzeichnis"/>
      </w:pPr>
      <w:proofErr w:type="spellStart"/>
      <w:r w:rsidRPr="0027216C">
        <w:t>GTelG</w:t>
      </w:r>
      <w:proofErr w:type="spellEnd"/>
      <w:r w:rsidRPr="0027216C">
        <w:tab/>
      </w:r>
      <w:proofErr w:type="spellStart"/>
      <w:r w:rsidRPr="0027216C">
        <w:t>Gesundheitstelematikgesetz</w:t>
      </w:r>
      <w:proofErr w:type="spellEnd"/>
    </w:p>
    <w:p w14:paraId="7DB0FCE2" w14:textId="77777777" w:rsidR="007E3FAA" w:rsidRPr="0027216C" w:rsidRDefault="00A42038">
      <w:pPr>
        <w:pStyle w:val="Abkrzungsverzeichnis"/>
      </w:pPr>
      <w:r w:rsidRPr="0027216C">
        <w:t>GuKG</w:t>
      </w:r>
      <w:r w:rsidRPr="0027216C">
        <w:tab/>
      </w:r>
      <w:proofErr w:type="spellStart"/>
      <w:r w:rsidRPr="0027216C">
        <w:t>Gesundheits</w:t>
      </w:r>
      <w:proofErr w:type="spellEnd"/>
      <w:r w:rsidRPr="0027216C">
        <w:t>‐ und Krankenpflegegesetz</w:t>
      </w:r>
    </w:p>
    <w:p w14:paraId="4ED87B4A" w14:textId="77777777" w:rsidR="007E3FAA" w:rsidRPr="00153C32" w:rsidRDefault="00A42038">
      <w:pPr>
        <w:pStyle w:val="Abkrzungsverzeichnis"/>
        <w:suppressAutoHyphens/>
        <w:rPr>
          <w:lang w:val="en-US"/>
        </w:rPr>
      </w:pPr>
      <w:r w:rsidRPr="0027216C">
        <w:t>ICD‐10</w:t>
      </w:r>
      <w:r w:rsidRPr="0027216C">
        <w:tab/>
        <w:t xml:space="preserve">Internationale statistische Klassifikation der Krankheiten und verwandter Gesundheitsprobleme, 10. </w:t>
      </w:r>
      <w:r w:rsidRPr="00153C32">
        <w:rPr>
          <w:lang w:val="en-US"/>
        </w:rPr>
        <w:t>Revision</w:t>
      </w:r>
    </w:p>
    <w:p w14:paraId="61FE9A8D" w14:textId="302B4B4C" w:rsidR="007E3FAA" w:rsidRPr="00E24097" w:rsidRDefault="00A42038">
      <w:pPr>
        <w:pStyle w:val="Abkrzungsverzeichnis"/>
        <w:rPr>
          <w:lang w:val="en-US"/>
        </w:rPr>
      </w:pPr>
      <w:r w:rsidRPr="00E24097">
        <w:rPr>
          <w:lang w:val="en-US"/>
        </w:rPr>
        <w:t>IV</w:t>
      </w:r>
      <w:r w:rsidRPr="00E24097">
        <w:rPr>
          <w:lang w:val="en-US"/>
        </w:rPr>
        <w:tab/>
      </w:r>
      <w:proofErr w:type="spellStart"/>
      <w:r w:rsidR="00492A5B" w:rsidRPr="00E24097">
        <w:rPr>
          <w:lang w:val="en-US"/>
        </w:rPr>
        <w:t>i</w:t>
      </w:r>
      <w:r w:rsidRPr="00E24097">
        <w:rPr>
          <w:lang w:val="en-US"/>
        </w:rPr>
        <w:t>ntegrierte</w:t>
      </w:r>
      <w:proofErr w:type="spellEnd"/>
      <w:r w:rsidRPr="00E24097">
        <w:rPr>
          <w:lang w:val="en-US"/>
        </w:rPr>
        <w:t xml:space="preserve"> </w:t>
      </w:r>
      <w:proofErr w:type="spellStart"/>
      <w:r w:rsidRPr="00E24097">
        <w:rPr>
          <w:lang w:val="en-US"/>
        </w:rPr>
        <w:t>Versorgung</w:t>
      </w:r>
      <w:proofErr w:type="spellEnd"/>
    </w:p>
    <w:p w14:paraId="7F7BF6CC" w14:textId="77777777" w:rsidR="007E3FAA" w:rsidRPr="0027216C" w:rsidRDefault="00A42038">
      <w:pPr>
        <w:pStyle w:val="Abkrzungsverzeichnis"/>
        <w:rPr>
          <w:lang w:val="en-US"/>
        </w:rPr>
      </w:pPr>
      <w:r w:rsidRPr="0027216C">
        <w:rPr>
          <w:lang w:val="en-US"/>
        </w:rPr>
        <w:t>IWGDF</w:t>
      </w:r>
      <w:r w:rsidRPr="0027216C">
        <w:rPr>
          <w:lang w:val="en-US"/>
        </w:rPr>
        <w:tab/>
        <w:t xml:space="preserve">International Working Group on </w:t>
      </w:r>
      <w:proofErr w:type="gramStart"/>
      <w:r w:rsidRPr="0027216C">
        <w:rPr>
          <w:lang w:val="en-US"/>
        </w:rPr>
        <w:t>the Diabetic</w:t>
      </w:r>
      <w:proofErr w:type="gramEnd"/>
      <w:r w:rsidRPr="0027216C">
        <w:rPr>
          <w:lang w:val="en-US"/>
        </w:rPr>
        <w:t xml:space="preserve"> Foot</w:t>
      </w:r>
    </w:p>
    <w:p w14:paraId="51B7FFAC" w14:textId="77777777" w:rsidR="007E3FAA" w:rsidRPr="0027216C" w:rsidRDefault="00A42038">
      <w:pPr>
        <w:pStyle w:val="Abkrzungsverzeichnis"/>
      </w:pPr>
      <w:proofErr w:type="gramStart"/>
      <w:r w:rsidRPr="0027216C">
        <w:t>LL</w:t>
      </w:r>
      <w:r w:rsidRPr="0027216C">
        <w:tab/>
        <w:t>Leitlinie</w:t>
      </w:r>
      <w:proofErr w:type="gramEnd"/>
    </w:p>
    <w:p w14:paraId="75BE1745" w14:textId="7D714221" w:rsidR="007E3FAA" w:rsidRPr="0027216C" w:rsidRDefault="00A42038">
      <w:pPr>
        <w:pStyle w:val="Abkrzungsverzeichnis"/>
      </w:pPr>
      <w:r w:rsidRPr="0027216C">
        <w:t>ÖGK</w:t>
      </w:r>
      <w:r w:rsidRPr="0027216C">
        <w:tab/>
      </w:r>
      <w:proofErr w:type="gramStart"/>
      <w:r w:rsidRPr="0027216C">
        <w:t>Österreichische</w:t>
      </w:r>
      <w:proofErr w:type="gramEnd"/>
      <w:r w:rsidRPr="0027216C">
        <w:t xml:space="preserve"> Gesundheitskasse</w:t>
      </w:r>
    </w:p>
    <w:p w14:paraId="188FA6BC" w14:textId="77777777" w:rsidR="007E3FAA" w:rsidRPr="0027216C" w:rsidRDefault="00A42038">
      <w:pPr>
        <w:pStyle w:val="Abkrzungsverzeichnis"/>
      </w:pPr>
      <w:r w:rsidRPr="0027216C">
        <w:t>ÖSG</w:t>
      </w:r>
      <w:r w:rsidRPr="0027216C">
        <w:tab/>
      </w:r>
      <w:proofErr w:type="gramStart"/>
      <w:r w:rsidRPr="0027216C">
        <w:t>Österreichischer</w:t>
      </w:r>
      <w:proofErr w:type="gramEnd"/>
      <w:r w:rsidRPr="0027216C">
        <w:t xml:space="preserve"> Strukturplan Gesundheit</w:t>
      </w:r>
    </w:p>
    <w:p w14:paraId="3270691B" w14:textId="77777777" w:rsidR="001816B6" w:rsidRPr="0027216C" w:rsidRDefault="001816B6" w:rsidP="001816B6">
      <w:pPr>
        <w:pStyle w:val="Abkrzungsverzeichnis"/>
      </w:pPr>
      <w:r w:rsidRPr="0027216C">
        <w:t>pAVK</w:t>
      </w:r>
      <w:r w:rsidRPr="0027216C">
        <w:tab/>
        <w:t>periphere arterielle Verschlusskrankheit</w:t>
      </w:r>
    </w:p>
    <w:p w14:paraId="59FC26BA" w14:textId="77777777" w:rsidR="007E3FAA" w:rsidRPr="0027216C" w:rsidRDefault="00A42038">
      <w:pPr>
        <w:pStyle w:val="Abkrzungsverzeichnis"/>
      </w:pPr>
      <w:r w:rsidRPr="0027216C">
        <w:t>PG QS</w:t>
      </w:r>
      <w:r w:rsidRPr="0027216C">
        <w:tab/>
        <w:t>Projektgruppe Qualitätsstandards</w:t>
      </w:r>
    </w:p>
    <w:p w14:paraId="3966A2C2" w14:textId="76C6508B" w:rsidR="007E3FAA" w:rsidRPr="0027216C" w:rsidRDefault="00A42038">
      <w:pPr>
        <w:pStyle w:val="Abkrzungsverzeichnis"/>
        <w:rPr>
          <w:lang w:val="de-DE"/>
        </w:rPr>
      </w:pPr>
      <w:r w:rsidRPr="0027216C">
        <w:rPr>
          <w:lang w:val="de-DE"/>
        </w:rPr>
        <w:t>PVE</w:t>
      </w:r>
      <w:r w:rsidRPr="0027216C">
        <w:rPr>
          <w:lang w:val="de-DE"/>
        </w:rPr>
        <w:tab/>
        <w:t>Primärversorgung</w:t>
      </w:r>
      <w:r w:rsidR="001816B6">
        <w:rPr>
          <w:lang w:val="de-DE"/>
        </w:rPr>
        <w:t>s</w:t>
      </w:r>
      <w:r w:rsidRPr="0027216C">
        <w:rPr>
          <w:lang w:val="de-DE"/>
        </w:rPr>
        <w:t>einheit</w:t>
      </w:r>
    </w:p>
    <w:p w14:paraId="317EC99D" w14:textId="77777777" w:rsidR="007E3FAA" w:rsidRPr="00AA17C9" w:rsidRDefault="00A42038">
      <w:pPr>
        <w:pStyle w:val="Abkrzungsverzeichnis"/>
        <w:rPr>
          <w:lang w:val="de-DE"/>
        </w:rPr>
      </w:pPr>
      <w:proofErr w:type="gramStart"/>
      <w:r w:rsidRPr="00AA17C9">
        <w:rPr>
          <w:lang w:val="de-DE"/>
        </w:rPr>
        <w:t>QS</w:t>
      </w:r>
      <w:r w:rsidRPr="00AA17C9">
        <w:rPr>
          <w:lang w:val="de-DE"/>
        </w:rPr>
        <w:tab/>
        <w:t>Qualitätsstandard</w:t>
      </w:r>
      <w:proofErr w:type="gramEnd"/>
    </w:p>
    <w:p w14:paraId="68095D68" w14:textId="77777777" w:rsidR="007E3FAA" w:rsidRPr="00AA17C9" w:rsidRDefault="00A42038">
      <w:pPr>
        <w:pStyle w:val="Abkrzungsverzeichnis"/>
        <w:rPr>
          <w:lang w:val="de-DE"/>
        </w:rPr>
      </w:pPr>
      <w:r w:rsidRPr="00AA17C9">
        <w:rPr>
          <w:lang w:val="de-DE"/>
        </w:rPr>
        <w:t>SOP</w:t>
      </w:r>
      <w:r w:rsidRPr="00AA17C9">
        <w:rPr>
          <w:lang w:val="de-DE"/>
        </w:rPr>
        <w:tab/>
        <w:t xml:space="preserve">Standard Operating </w:t>
      </w:r>
      <w:proofErr w:type="spellStart"/>
      <w:r w:rsidRPr="00AA17C9">
        <w:rPr>
          <w:lang w:val="de-DE"/>
        </w:rPr>
        <w:t>Procedure</w:t>
      </w:r>
      <w:proofErr w:type="spellEnd"/>
    </w:p>
    <w:p w14:paraId="03FCEED1" w14:textId="391639A4" w:rsidR="001E573D" w:rsidRPr="0027216C" w:rsidRDefault="001E573D">
      <w:pPr>
        <w:pStyle w:val="Abkrzungsverzeichnis"/>
        <w:rPr>
          <w:lang w:val="de-DE"/>
        </w:rPr>
      </w:pPr>
      <w:r w:rsidRPr="0027216C">
        <w:rPr>
          <w:lang w:val="de-DE"/>
        </w:rPr>
        <w:t>TG Q</w:t>
      </w:r>
      <w:r w:rsidRPr="0027216C">
        <w:rPr>
          <w:lang w:val="de-DE"/>
        </w:rPr>
        <w:tab/>
        <w:t>Themengruppe Qualität</w:t>
      </w:r>
    </w:p>
    <w:p w14:paraId="4A5142A9" w14:textId="77777777" w:rsidR="007E3FAA" w:rsidRPr="0027216C" w:rsidRDefault="00A42038">
      <w:pPr>
        <w:pStyle w:val="Abkrzungsverzeichnis"/>
        <w:ind w:left="0" w:firstLine="0"/>
        <w:rPr>
          <w:lang w:val="de-DE"/>
        </w:rPr>
      </w:pPr>
      <w:r w:rsidRPr="0027216C">
        <w:rPr>
          <w:lang w:val="de-DE"/>
        </w:rPr>
        <w:t>u. a.</w:t>
      </w:r>
      <w:r w:rsidRPr="0027216C">
        <w:rPr>
          <w:lang w:val="de-DE"/>
        </w:rPr>
        <w:tab/>
        <w:t>unter anderem</w:t>
      </w:r>
    </w:p>
    <w:p w14:paraId="2A772C1B" w14:textId="77777777" w:rsidR="007E3FAA" w:rsidRPr="0027216C" w:rsidRDefault="00A42038">
      <w:pPr>
        <w:spacing w:before="0" w:line="240" w:lineRule="auto"/>
        <w:jc w:val="left"/>
        <w:rPr>
          <w:lang w:val="de-DE"/>
        </w:rPr>
      </w:pPr>
      <w:r w:rsidRPr="0027216C">
        <w:rPr>
          <w:lang w:val="de-DE"/>
        </w:rPr>
        <w:br w:type="page"/>
      </w:r>
    </w:p>
    <w:p w14:paraId="16FE89E1" w14:textId="15887ACD" w:rsidR="007E3FAA" w:rsidRPr="0027216C" w:rsidRDefault="00A42038" w:rsidP="00C05A64">
      <w:pPr>
        <w:pStyle w:val="berschrift"/>
        <w:spacing w:after="120"/>
      </w:pPr>
      <w:bookmarkStart w:id="31" w:name="_Toc21083151"/>
      <w:bookmarkStart w:id="32" w:name="_Toc13572414"/>
      <w:bookmarkStart w:id="33" w:name="_Toc19870638"/>
      <w:bookmarkStart w:id="34" w:name="_Toc159827589"/>
      <w:bookmarkStart w:id="35" w:name="_Toc211342052"/>
      <w:r w:rsidRPr="0027216C">
        <w:lastRenderedPageBreak/>
        <w:t>Glossar</w:t>
      </w:r>
      <w:bookmarkEnd w:id="31"/>
      <w:bookmarkEnd w:id="32"/>
      <w:bookmarkEnd w:id="33"/>
      <w:bookmarkEnd w:id="34"/>
      <w:bookmarkEnd w:id="35"/>
    </w:p>
    <w:tbl>
      <w:tblPr>
        <w:tblStyle w:val="GGRahmen"/>
        <w:tblW w:w="5000" w:type="pct"/>
        <w:tblLook w:val="04A0" w:firstRow="1" w:lastRow="0" w:firstColumn="1" w:lastColumn="0" w:noHBand="0" w:noVBand="1"/>
      </w:tblPr>
      <w:tblGrid>
        <w:gridCol w:w="1930"/>
        <w:gridCol w:w="6461"/>
      </w:tblGrid>
      <w:tr w:rsidR="009258E7" w:rsidRPr="0027216C" w14:paraId="773A5478" w14:textId="77777777" w:rsidTr="00AE5135">
        <w:trPr>
          <w:cnfStyle w:val="100000000000" w:firstRow="1" w:lastRow="0" w:firstColumn="0" w:lastColumn="0" w:oddVBand="0" w:evenVBand="0" w:oddHBand="0" w:evenHBand="0" w:firstRowFirstColumn="0" w:firstRowLastColumn="0" w:lastRowFirstColumn="0" w:lastRowLastColumn="0"/>
        </w:trPr>
        <w:tc>
          <w:tcPr>
            <w:tcW w:w="1150" w:type="pct"/>
            <w:tcBorders>
              <w:top w:val="single" w:sz="4" w:space="0" w:color="auto"/>
              <w:bottom w:val="single" w:sz="4" w:space="0" w:color="000000" w:themeColor="background2"/>
            </w:tcBorders>
          </w:tcPr>
          <w:p w14:paraId="3DFC3CF4" w14:textId="77777777" w:rsidR="007E3FAA" w:rsidRPr="00AE5135" w:rsidRDefault="00A42038" w:rsidP="00153C32">
            <w:pPr>
              <w:pStyle w:val="THEbene1irgendeine"/>
              <w:rPr>
                <w:b w:val="0"/>
                <w:bCs/>
              </w:rPr>
            </w:pPr>
            <w:r w:rsidRPr="00AE5135">
              <w:rPr>
                <w:b w:val="0"/>
                <w:bCs/>
              </w:rPr>
              <w:t>Begriff</w:t>
            </w:r>
          </w:p>
        </w:tc>
        <w:tc>
          <w:tcPr>
            <w:tcW w:w="3850" w:type="pct"/>
            <w:tcBorders>
              <w:top w:val="single" w:sz="4" w:space="0" w:color="auto"/>
              <w:bottom w:val="single" w:sz="4" w:space="0" w:color="000000" w:themeColor="background2"/>
            </w:tcBorders>
          </w:tcPr>
          <w:p w14:paraId="10BB29AC" w14:textId="77777777" w:rsidR="007E3FAA" w:rsidRPr="00AE5135" w:rsidRDefault="00A42038" w:rsidP="00153C32">
            <w:pPr>
              <w:pStyle w:val="THEbene1irgendeine"/>
              <w:rPr>
                <w:b w:val="0"/>
                <w:bCs/>
              </w:rPr>
            </w:pPr>
            <w:r w:rsidRPr="00AE5135">
              <w:rPr>
                <w:b w:val="0"/>
                <w:bCs/>
              </w:rPr>
              <w:t>Definition</w:t>
            </w:r>
          </w:p>
        </w:tc>
      </w:tr>
      <w:tr w:rsidR="00784637" w:rsidRPr="0027216C" w14:paraId="1E4F1CC4" w14:textId="77777777" w:rsidTr="00AE5135">
        <w:tc>
          <w:tcPr>
            <w:tcW w:w="1150" w:type="pct"/>
            <w:tcBorders>
              <w:top w:val="single" w:sz="4" w:space="0" w:color="000000" w:themeColor="background2"/>
            </w:tcBorders>
          </w:tcPr>
          <w:p w14:paraId="2FCA8AD4" w14:textId="1A6A215F" w:rsidR="00784637" w:rsidRPr="0027216C" w:rsidRDefault="00784637">
            <w:pPr>
              <w:pStyle w:val="Glossar"/>
              <w:keepNext w:val="0"/>
              <w:keepLines w:val="0"/>
              <w:widowControl w:val="0"/>
              <w:spacing w:before="20" w:line="200" w:lineRule="exact"/>
              <w:rPr>
                <w:lang w:val="de-DE"/>
              </w:rPr>
            </w:pPr>
            <w:proofErr w:type="spellStart"/>
            <w:r w:rsidRPr="0027216C">
              <w:rPr>
                <w:lang w:val="de-DE"/>
              </w:rPr>
              <w:t>Bedarfsassessment</w:t>
            </w:r>
            <w:proofErr w:type="spellEnd"/>
          </w:p>
        </w:tc>
        <w:tc>
          <w:tcPr>
            <w:tcW w:w="3850" w:type="pct"/>
            <w:tcBorders>
              <w:top w:val="single" w:sz="4" w:space="0" w:color="000000" w:themeColor="background2"/>
            </w:tcBorders>
          </w:tcPr>
          <w:p w14:paraId="083CC49B" w14:textId="618A0A78" w:rsidR="00784637" w:rsidRPr="0027216C" w:rsidRDefault="00784637">
            <w:pPr>
              <w:pStyle w:val="Glossar"/>
              <w:spacing w:before="20" w:line="200" w:lineRule="exact"/>
              <w:rPr>
                <w:lang w:val="de-DE"/>
              </w:rPr>
            </w:pPr>
            <w:r w:rsidRPr="0027216C">
              <w:t xml:space="preserve">Mit dem </w:t>
            </w:r>
            <w:proofErr w:type="spellStart"/>
            <w:r w:rsidRPr="0027216C">
              <w:t>Bedarfsassessment</w:t>
            </w:r>
            <w:proofErr w:type="spellEnd"/>
            <w:r w:rsidRPr="0027216C">
              <w:t xml:space="preserve"> wird von </w:t>
            </w:r>
            <w:r w:rsidR="00D05C45">
              <w:t>Angehörig</w:t>
            </w:r>
            <w:r w:rsidRPr="0027216C">
              <w:t xml:space="preserve">en </w:t>
            </w:r>
            <w:r w:rsidR="00D05C45">
              <w:t xml:space="preserve">der </w:t>
            </w:r>
            <w:r w:rsidRPr="0027216C">
              <w:t>Gesundheitsberufe im Rahmen ihres berufsrechtlichen Kompetenz- und Aufgabenbereichs sowie auf Basis vorhandener professionsbezogener, evidenzbasierter und konsentierter Leitlinien und Standards das Krankheitsverständnis, wund- und therapiebedingte Einschränkungen, Möglichkeiten des gesundheitsbezogenen Selbstmanagements sowie die aktuelle Wundsituation erfass</w:t>
            </w:r>
            <w:r w:rsidR="00BA1D76" w:rsidRPr="0027216C">
              <w:t>t</w:t>
            </w:r>
            <w:r w:rsidRPr="0027216C">
              <w:t xml:space="preserve">. Die Ergebnisse des </w:t>
            </w:r>
            <w:proofErr w:type="spellStart"/>
            <w:r w:rsidRPr="0027216C">
              <w:t>Bedarfsassessments</w:t>
            </w:r>
            <w:proofErr w:type="spellEnd"/>
            <w:r w:rsidRPr="0027216C">
              <w:t xml:space="preserve"> fließen in die interprofessionellen Entscheidungen zum Ziel der Versorgung, Therapie und Sicherung der Partizipation von Patient</w:t>
            </w:r>
            <w:r w:rsidR="0062074B">
              <w:t>i</w:t>
            </w:r>
            <w:r w:rsidRPr="0027216C">
              <w:t xml:space="preserve">nnen </w:t>
            </w:r>
            <w:r w:rsidR="0062074B">
              <w:t>und Pateinten</w:t>
            </w:r>
            <w:r w:rsidR="00F25BFD">
              <w:t xml:space="preserve"> </w:t>
            </w:r>
            <w:r w:rsidRPr="0027216C">
              <w:t xml:space="preserve">und ihren Angehörigen ein </w:t>
            </w:r>
            <w:r w:rsidRPr="0027216C">
              <w:rPr>
                <w:lang w:val="de-DE"/>
              </w:rPr>
              <w:t>(AWMF 2023)</w:t>
            </w:r>
            <w:r w:rsidRPr="0027216C">
              <w:t>.</w:t>
            </w:r>
          </w:p>
        </w:tc>
      </w:tr>
      <w:tr w:rsidR="005F1709" w:rsidRPr="0027216C" w14:paraId="0317E269" w14:textId="77777777" w:rsidTr="00AE5135">
        <w:tc>
          <w:tcPr>
            <w:tcW w:w="1150" w:type="pct"/>
            <w:tcBorders>
              <w:top w:val="single" w:sz="4" w:space="0" w:color="000000" w:themeColor="background2"/>
            </w:tcBorders>
          </w:tcPr>
          <w:p w14:paraId="28D2105E" w14:textId="697072AB" w:rsidR="005F1709" w:rsidRPr="0027216C" w:rsidRDefault="005F1709">
            <w:pPr>
              <w:pStyle w:val="Glossar"/>
              <w:keepNext w:val="0"/>
              <w:keepLines w:val="0"/>
              <w:widowControl w:val="0"/>
              <w:spacing w:before="20" w:line="200" w:lineRule="exact"/>
              <w:rPr>
                <w:lang w:val="de-DE"/>
              </w:rPr>
            </w:pPr>
            <w:r w:rsidRPr="0027216C">
              <w:rPr>
                <w:lang w:val="de-DE"/>
              </w:rPr>
              <w:t>Behandlungsplan</w:t>
            </w:r>
          </w:p>
        </w:tc>
        <w:tc>
          <w:tcPr>
            <w:tcW w:w="3850" w:type="pct"/>
            <w:tcBorders>
              <w:top w:val="single" w:sz="4" w:space="0" w:color="000000" w:themeColor="background2"/>
            </w:tcBorders>
          </w:tcPr>
          <w:p w14:paraId="1DCAAB3C" w14:textId="31CFFFD5" w:rsidR="005F1709" w:rsidRPr="0027216C" w:rsidRDefault="00D90195">
            <w:pPr>
              <w:pStyle w:val="Glossar"/>
              <w:spacing w:before="20" w:line="200" w:lineRule="exact"/>
              <w:rPr>
                <w:lang w:val="de-DE"/>
              </w:rPr>
            </w:pPr>
            <w:r w:rsidRPr="0027216C">
              <w:rPr>
                <w:lang w:val="de-DE"/>
              </w:rPr>
              <w:t xml:space="preserve">Der Behandlungsplan </w:t>
            </w:r>
            <w:r w:rsidR="00BA1D76" w:rsidRPr="0027216C">
              <w:rPr>
                <w:lang w:val="de-DE"/>
              </w:rPr>
              <w:t xml:space="preserve">ist </w:t>
            </w:r>
            <w:r w:rsidRPr="0027216C">
              <w:rPr>
                <w:lang w:val="de-DE"/>
              </w:rPr>
              <w:t>ein strukturierter schriftlicher Plan und umfasst das mit der Wundpatientin</w:t>
            </w:r>
            <w:r w:rsidR="00F25BFD">
              <w:rPr>
                <w:lang w:val="de-DE"/>
              </w:rPr>
              <w:t xml:space="preserve"> bzw. dem Wundpatienten</w:t>
            </w:r>
            <w:r w:rsidRPr="0027216C">
              <w:rPr>
                <w:lang w:val="de-DE"/>
              </w:rPr>
              <w:t xml:space="preserve"> gemeinsam festgelegte Behandlungsziel</w:t>
            </w:r>
            <w:r w:rsidR="007A6C2F">
              <w:rPr>
                <w:lang w:val="de-DE"/>
              </w:rPr>
              <w:t>e</w:t>
            </w:r>
            <w:r w:rsidRPr="0027216C">
              <w:rPr>
                <w:lang w:val="de-DE"/>
              </w:rPr>
              <w:t xml:space="preserve"> </w:t>
            </w:r>
            <w:r w:rsidR="007A6C2F">
              <w:rPr>
                <w:lang w:val="de-DE"/>
              </w:rPr>
              <w:br/>
            </w:r>
            <w:r w:rsidRPr="0027216C">
              <w:rPr>
                <w:lang w:val="de-DE"/>
              </w:rPr>
              <w:t>sowie die lokaltherapeutische Versorgung, die Intervalle der Verband</w:t>
            </w:r>
            <w:r w:rsidR="008D598B">
              <w:rPr>
                <w:lang w:val="de-DE"/>
              </w:rPr>
              <w:t>s</w:t>
            </w:r>
            <w:r w:rsidRPr="0027216C">
              <w:rPr>
                <w:lang w:val="de-DE"/>
              </w:rPr>
              <w:t xml:space="preserve">wechsel, die begleitenden Maßnahmen bis zur nächsten Evaluation, die beteiligten GDA und ggfs. die </w:t>
            </w:r>
            <w:r w:rsidR="007A6C2F">
              <w:rPr>
                <w:lang w:val="de-DE"/>
              </w:rPr>
              <w:br/>
            </w:r>
            <w:r w:rsidRPr="0027216C">
              <w:rPr>
                <w:lang w:val="de-DE"/>
              </w:rPr>
              <w:t xml:space="preserve">ausführenden Personen. Bei der Erstellung des Behandlungsplans sollen jedenfalls auch Aspekte der Lebensqualität und des Schmerzmanagements mitbedacht werden (vgl. </w:t>
            </w:r>
            <w:r w:rsidRPr="00227976">
              <w:rPr>
                <w:lang w:val="de-DE"/>
              </w:rPr>
              <w:t xml:space="preserve">Eriksson 2022, EPUAP 2019). </w:t>
            </w:r>
            <w:r w:rsidRPr="0027216C">
              <w:rPr>
                <w:lang w:val="de-DE"/>
              </w:rPr>
              <w:t>Für Patien</w:t>
            </w:r>
            <w:r w:rsidR="006A152C">
              <w:rPr>
                <w:lang w:val="de-DE"/>
              </w:rPr>
              <w:t>t</w:t>
            </w:r>
            <w:r w:rsidRPr="0027216C">
              <w:rPr>
                <w:lang w:val="de-DE"/>
              </w:rPr>
              <w:t xml:space="preserve">innen </w:t>
            </w:r>
            <w:r w:rsidR="006A152C">
              <w:rPr>
                <w:lang w:val="de-DE"/>
              </w:rPr>
              <w:t xml:space="preserve">und Patienten </w:t>
            </w:r>
            <w:r w:rsidRPr="0027216C">
              <w:rPr>
                <w:lang w:val="de-DE"/>
              </w:rPr>
              <w:t xml:space="preserve">mit chronischen </w:t>
            </w:r>
            <w:r w:rsidR="007A6C2F">
              <w:rPr>
                <w:lang w:val="de-DE"/>
              </w:rPr>
              <w:br/>
            </w:r>
            <w:r w:rsidRPr="0027216C">
              <w:rPr>
                <w:lang w:val="de-DE"/>
              </w:rPr>
              <w:t>Wunden soll der Behandlungsplan interprofessionell erstellt werden.</w:t>
            </w:r>
          </w:p>
        </w:tc>
      </w:tr>
      <w:tr w:rsidR="005416F4" w:rsidRPr="0027216C" w14:paraId="438D29C2" w14:textId="77777777" w:rsidTr="00AE5135">
        <w:tc>
          <w:tcPr>
            <w:tcW w:w="1150" w:type="pct"/>
            <w:tcBorders>
              <w:top w:val="single" w:sz="4" w:space="0" w:color="000000" w:themeColor="background2"/>
            </w:tcBorders>
          </w:tcPr>
          <w:p w14:paraId="13C76726" w14:textId="2D8005F2" w:rsidR="005416F4" w:rsidRPr="0027216C" w:rsidRDefault="005416F4" w:rsidP="005416F4">
            <w:pPr>
              <w:pStyle w:val="Glossar"/>
              <w:keepNext w:val="0"/>
              <w:keepLines w:val="0"/>
              <w:widowControl w:val="0"/>
              <w:spacing w:before="20" w:line="200" w:lineRule="exact"/>
              <w:rPr>
                <w:b/>
                <w:lang w:val="de-DE"/>
              </w:rPr>
            </w:pPr>
            <w:r w:rsidRPr="0027216C">
              <w:rPr>
                <w:lang w:val="de-DE"/>
              </w:rPr>
              <w:t xml:space="preserve">chronisch venöse </w:t>
            </w:r>
            <w:r w:rsidRPr="0027216C">
              <w:rPr>
                <w:lang w:val="de-DE"/>
              </w:rPr>
              <w:br/>
              <w:t>Insuffizienz (CVI)</w:t>
            </w:r>
          </w:p>
        </w:tc>
        <w:tc>
          <w:tcPr>
            <w:tcW w:w="3850" w:type="pct"/>
            <w:tcBorders>
              <w:top w:val="single" w:sz="4" w:space="0" w:color="000000" w:themeColor="background2"/>
            </w:tcBorders>
          </w:tcPr>
          <w:p w14:paraId="63CCD17A" w14:textId="538B4494" w:rsidR="005416F4" w:rsidRPr="0027216C" w:rsidRDefault="005416F4" w:rsidP="005416F4">
            <w:pPr>
              <w:pStyle w:val="Glossar"/>
              <w:spacing w:before="20" w:line="200" w:lineRule="exact"/>
              <w:rPr>
                <w:lang w:val="de-DE"/>
              </w:rPr>
            </w:pPr>
            <w:r w:rsidRPr="0027216C">
              <w:rPr>
                <w:color w:val="auto"/>
              </w:rPr>
              <w:t>Zustand eines reduzierten Blutflusses mit Erhöhung des venösen Blutdrucks der oberflächlichen und/oder tiefen Leitvenen. Daraus können sich lokale Gewebsveränderungen und verschiedene Beschwerden manifestieren</w:t>
            </w:r>
            <w:r>
              <w:rPr>
                <w:color w:val="auto"/>
              </w:rPr>
              <w:t>,</w:t>
            </w:r>
            <w:r w:rsidRPr="0027216C">
              <w:rPr>
                <w:color w:val="auto"/>
              </w:rPr>
              <w:t xml:space="preserve"> bis hin zu trophischen Störungen und Ulcera. (Patel/</w:t>
            </w:r>
            <w:proofErr w:type="spellStart"/>
            <w:r w:rsidRPr="0027216C">
              <w:rPr>
                <w:color w:val="auto"/>
              </w:rPr>
              <w:t>Surowiec</w:t>
            </w:r>
            <w:proofErr w:type="spellEnd"/>
            <w:r w:rsidRPr="0027216C">
              <w:rPr>
                <w:color w:val="auto"/>
              </w:rPr>
              <w:t xml:space="preserve"> 2024)</w:t>
            </w:r>
          </w:p>
        </w:tc>
      </w:tr>
      <w:tr w:rsidR="005416F4" w:rsidRPr="0027216C" w14:paraId="5964C762" w14:textId="77777777" w:rsidTr="00AE5135">
        <w:tc>
          <w:tcPr>
            <w:tcW w:w="1150" w:type="pct"/>
          </w:tcPr>
          <w:p w14:paraId="1987DBA9" w14:textId="4CE85EBF" w:rsidR="005416F4" w:rsidRPr="005416F4" w:rsidRDefault="005416F4" w:rsidP="005416F4">
            <w:pPr>
              <w:pStyle w:val="Glossar"/>
              <w:keepNext w:val="0"/>
              <w:keepLines w:val="0"/>
              <w:widowControl w:val="0"/>
              <w:spacing w:before="20" w:line="200" w:lineRule="exact"/>
              <w:rPr>
                <w:bCs/>
                <w:lang w:val="de-DE"/>
              </w:rPr>
            </w:pPr>
            <w:r>
              <w:rPr>
                <w:bCs/>
                <w:lang w:val="de-DE"/>
              </w:rPr>
              <w:t>chronische Wunde</w:t>
            </w:r>
          </w:p>
        </w:tc>
        <w:tc>
          <w:tcPr>
            <w:tcW w:w="3850" w:type="pct"/>
          </w:tcPr>
          <w:p w14:paraId="2671893C" w14:textId="38954486" w:rsidR="005416F4" w:rsidRPr="0027216C" w:rsidRDefault="005416F4" w:rsidP="005416F4">
            <w:pPr>
              <w:pStyle w:val="Glossar"/>
              <w:spacing w:before="20" w:line="200" w:lineRule="exact"/>
              <w:rPr>
                <w:lang w:val="de-DE"/>
              </w:rPr>
            </w:pPr>
            <w:r w:rsidRPr="0027216C">
              <w:rPr>
                <w:lang w:val="de-DE"/>
              </w:rPr>
              <w:t xml:space="preserve">Integritätsverlust der Haut und einer oder mehrerer darunter liegender Strukturen mit einer fehlenden Abheilung innerhalb von acht Wochen (AWMF 2023) </w:t>
            </w:r>
          </w:p>
          <w:p w14:paraId="0C029041" w14:textId="2E55FBE5" w:rsidR="005416F4" w:rsidRPr="0027216C" w:rsidRDefault="005416F4" w:rsidP="005416F4">
            <w:pPr>
              <w:pStyle w:val="Glossar"/>
              <w:spacing w:before="20" w:line="200" w:lineRule="exact"/>
              <w:rPr>
                <w:strike/>
                <w:lang w:val="de-DE"/>
              </w:rPr>
            </w:pPr>
            <w:r w:rsidRPr="0027216C">
              <w:rPr>
                <w:rFonts w:cs="Segoe UI"/>
                <w:szCs w:val="14"/>
              </w:rPr>
              <w:t xml:space="preserve">Unabhängig von dieser zeitlich orientierten Definition gibt es Wunden, die von Beginn an als chronisch anzusehen sind, da </w:t>
            </w:r>
            <w:r>
              <w:rPr>
                <w:rFonts w:cs="Segoe UI"/>
                <w:szCs w:val="14"/>
              </w:rPr>
              <w:t>i</w:t>
            </w:r>
            <w:r w:rsidRPr="0027216C">
              <w:rPr>
                <w:rFonts w:cs="Segoe UI"/>
                <w:szCs w:val="14"/>
              </w:rPr>
              <w:t xml:space="preserve">hre Behandlung eine Therapie der weiterhin bestehenden Ursache erfordert. Hierzu gehören beispielsweise das diabetische </w:t>
            </w:r>
            <w:proofErr w:type="spellStart"/>
            <w:r w:rsidRPr="0027216C">
              <w:rPr>
                <w:rFonts w:cs="Segoe UI"/>
                <w:szCs w:val="14"/>
              </w:rPr>
              <w:t>Fußulcus</w:t>
            </w:r>
            <w:proofErr w:type="spellEnd"/>
            <w:r w:rsidRPr="0027216C">
              <w:rPr>
                <w:rFonts w:cs="Segoe UI"/>
                <w:szCs w:val="14"/>
              </w:rPr>
              <w:t>, Wunden bei peripherer arterieller Verschlusskrankheit (pAVK), Ulcus cruris venosum oder Dekubitus. (ICW 2023)</w:t>
            </w:r>
          </w:p>
        </w:tc>
      </w:tr>
      <w:tr w:rsidR="005416F4" w:rsidRPr="0027216C" w14:paraId="1AFE4A16" w14:textId="77777777" w:rsidTr="00AE5135">
        <w:tc>
          <w:tcPr>
            <w:tcW w:w="1150" w:type="pct"/>
          </w:tcPr>
          <w:p w14:paraId="0A41D62B" w14:textId="129702A0" w:rsidR="005416F4" w:rsidRPr="0027216C" w:rsidRDefault="00137E59" w:rsidP="005416F4">
            <w:pPr>
              <w:pStyle w:val="Glossar"/>
              <w:keepNext w:val="0"/>
              <w:keepLines w:val="0"/>
              <w:widowControl w:val="0"/>
              <w:spacing w:before="20" w:line="200" w:lineRule="exact"/>
              <w:rPr>
                <w:b/>
              </w:rPr>
            </w:pPr>
            <w:r w:rsidRPr="0027216C">
              <w:rPr>
                <w:lang w:val="de-DE"/>
              </w:rPr>
              <w:t>Débridement</w:t>
            </w:r>
          </w:p>
        </w:tc>
        <w:tc>
          <w:tcPr>
            <w:tcW w:w="3850" w:type="pct"/>
          </w:tcPr>
          <w:p w14:paraId="1AC1E1C0" w14:textId="464C6FFE" w:rsidR="005416F4" w:rsidRPr="0027216C" w:rsidRDefault="00304504" w:rsidP="005416F4">
            <w:pPr>
              <w:pStyle w:val="Glossar"/>
              <w:spacing w:before="20" w:line="200" w:lineRule="exact"/>
            </w:pPr>
            <w:r w:rsidRPr="0027216C">
              <w:rPr>
                <w:color w:val="auto"/>
              </w:rPr>
              <w:t>Entfernung von anhaftendem, abgestorbenem Gewebe, Krusten oder Fremdkörpern aus Wunden. Zentral wichtige Ziele des Débridements sind die Vermeidung und Bekämpfung von Wundinfektionen, Verbesserung der Beurteilbarkeit der Wunde sowie die Förderung der Wundheilung. (ICW 2023)</w:t>
            </w:r>
          </w:p>
        </w:tc>
      </w:tr>
      <w:tr w:rsidR="005416F4" w:rsidRPr="0027216C" w14:paraId="4B4EA077" w14:textId="77777777" w:rsidTr="00AE5135">
        <w:tc>
          <w:tcPr>
            <w:tcW w:w="1150" w:type="pct"/>
          </w:tcPr>
          <w:p w14:paraId="286CDE79" w14:textId="74318018" w:rsidR="005416F4" w:rsidRPr="00227976" w:rsidRDefault="00137E59" w:rsidP="005416F4">
            <w:pPr>
              <w:pStyle w:val="Glossar"/>
              <w:keepNext w:val="0"/>
              <w:keepLines w:val="0"/>
              <w:widowControl w:val="0"/>
              <w:spacing w:before="20" w:line="200" w:lineRule="exact"/>
              <w:rPr>
                <w:lang w:val="de-DE"/>
              </w:rPr>
            </w:pPr>
            <w:r w:rsidRPr="0027216C">
              <w:rPr>
                <w:lang w:val="de-DE"/>
              </w:rPr>
              <w:t>Dekubitus</w:t>
            </w:r>
          </w:p>
        </w:tc>
        <w:tc>
          <w:tcPr>
            <w:tcW w:w="3850" w:type="pct"/>
          </w:tcPr>
          <w:p w14:paraId="2978D481" w14:textId="77777777" w:rsidR="00304504" w:rsidRPr="0027216C" w:rsidRDefault="00304504" w:rsidP="00304504">
            <w:pPr>
              <w:pStyle w:val="Glossar"/>
              <w:spacing w:before="20" w:line="200" w:lineRule="exact"/>
              <w:rPr>
                <w:lang w:val="de-DE"/>
              </w:rPr>
            </w:pPr>
            <w:r w:rsidRPr="0027216C">
              <w:rPr>
                <w:lang w:val="de-DE"/>
              </w:rPr>
              <w:t>Druckgeschwür (</w:t>
            </w:r>
            <w:proofErr w:type="spellStart"/>
            <w:r w:rsidRPr="0027216C">
              <w:rPr>
                <w:lang w:val="de-DE"/>
              </w:rPr>
              <w:t>Dekubitalgeschwür</w:t>
            </w:r>
            <w:proofErr w:type="spellEnd"/>
            <w:r w:rsidRPr="0027216C">
              <w:rPr>
                <w:lang w:val="de-DE"/>
              </w:rPr>
              <w:t xml:space="preserve">); zählt zu den chronischen Wunden. Der Schweregrad eines Dekubitus richtet sich nach der Ausdehnung in die Tiefe des Gewebes. In der ICD‐10 </w:t>
            </w:r>
            <w:r w:rsidRPr="0027216C">
              <w:rPr>
                <w:lang w:val="de-DE"/>
              </w:rPr>
              <w:fldChar w:fldCharType="begin"/>
            </w:r>
            <w:r w:rsidRPr="0027216C">
              <w:rPr>
                <w:lang w:val="de-DE"/>
              </w:rPr>
              <w:instrText xml:space="preserve"> ADDIN EN.CITE &lt;EndNote&gt;&lt;Cite ExcludeYear="1"&gt;&lt;Author&gt;WHO&lt;/Author&gt;&lt;Year&gt;2020&lt;/Year&gt;&lt;RecNum&gt;21&lt;/RecNum&gt;&lt;DisplayText&gt;(WHO)&lt;/DisplayText&gt;&lt;record&gt;&lt;rec-number&gt;21&lt;/rec-number&gt;&lt;foreign-keys&gt;&lt;key app="EN" db-id="rr2axwd5c5ezecewez9vz0zgxdspr9v2xpzw" timestamp="1660033778"&gt;21&lt;/key&gt;&lt;/foreign-keys&gt;&lt;ref-type name="Web Page"&gt;12&lt;/ref-type&gt;&lt;contributors&gt;&lt;authors&gt;&lt;author&gt;WHO &lt;/author&gt;&lt;/authors&gt;&lt;/contributors&gt;&lt;titles&gt;&lt;title&gt;L89.- Dekubitalgeschwür und Druckzone&lt;/title&gt;&lt;/titles&gt;&lt;number&gt;09.08.2022&lt;/number&gt;&lt;dates&gt;&lt;year&gt;2020&lt;/year&gt;&lt;/dates&gt;&lt;pub-location&gt;https://www.icd-code.de/icd/code/L89.-.html&lt;/pub-location&gt;&lt;urls&gt;&lt;/urls&gt;&lt;/record&gt;&lt;/Cite&gt;&lt;/EndNote&gt;</w:instrText>
            </w:r>
            <w:r w:rsidRPr="0027216C">
              <w:rPr>
                <w:lang w:val="de-DE"/>
              </w:rPr>
              <w:fldChar w:fldCharType="separate"/>
            </w:r>
            <w:r w:rsidRPr="0027216C">
              <w:rPr>
                <w:noProof/>
                <w:lang w:val="de-DE"/>
              </w:rPr>
              <w:t>(</w:t>
            </w:r>
            <w:hyperlink w:anchor="_ENREF_10" w:tooltip="WHO, 2020 #21" w:history="1">
              <w:r w:rsidRPr="0027216C">
                <w:rPr>
                  <w:noProof/>
                  <w:lang w:val="de-DE"/>
                </w:rPr>
                <w:t>WHO</w:t>
              </w:r>
            </w:hyperlink>
            <w:r w:rsidRPr="0027216C">
              <w:rPr>
                <w:noProof/>
                <w:lang w:val="de-DE"/>
              </w:rPr>
              <w:t>)</w:t>
            </w:r>
            <w:r w:rsidRPr="0027216C">
              <w:rPr>
                <w:lang w:val="de-DE"/>
              </w:rPr>
              <w:fldChar w:fldCharType="end"/>
            </w:r>
            <w:r w:rsidRPr="0027216C">
              <w:rPr>
                <w:lang w:val="de-DE"/>
              </w:rPr>
              <w:t xml:space="preserve"> werden vier Dekubitus‐Stadien voneinander unterschieden (vgl. Code L89.–):</w:t>
            </w:r>
          </w:p>
          <w:p w14:paraId="1B7D1495" w14:textId="77777777" w:rsidR="00304504" w:rsidRPr="0027216C" w:rsidRDefault="00304504" w:rsidP="00304504">
            <w:pPr>
              <w:pStyle w:val="Glossar"/>
              <w:spacing w:before="20" w:line="200" w:lineRule="exact"/>
              <w:rPr>
                <w:lang w:val="de-DE"/>
              </w:rPr>
            </w:pPr>
            <w:r w:rsidRPr="0027216C">
              <w:rPr>
                <w:lang w:val="de-DE"/>
              </w:rPr>
              <w:t>1. Grad: Druckzone mit nicht wegdrückbarer Rötung bei intakter Haut</w:t>
            </w:r>
          </w:p>
          <w:p w14:paraId="288B690E" w14:textId="77777777" w:rsidR="00304504" w:rsidRPr="0027216C" w:rsidRDefault="00304504" w:rsidP="00304504">
            <w:pPr>
              <w:pStyle w:val="Glossar"/>
              <w:spacing w:before="20" w:line="200" w:lineRule="exact"/>
              <w:rPr>
                <w:lang w:val="de-DE"/>
              </w:rPr>
            </w:pPr>
            <w:r w:rsidRPr="0027216C">
              <w:rPr>
                <w:lang w:val="de-DE"/>
              </w:rPr>
              <w:t xml:space="preserve">2. Grad: Dekubitus mit Abschürfung, Blase, Teilverlust der Haut mit Einbeziehung von Epidermis und/oder </w:t>
            </w:r>
            <w:proofErr w:type="spellStart"/>
            <w:r w:rsidRPr="0027216C">
              <w:rPr>
                <w:lang w:val="de-DE"/>
              </w:rPr>
              <w:t>Dermis</w:t>
            </w:r>
            <w:proofErr w:type="spellEnd"/>
          </w:p>
          <w:p w14:paraId="0749F829" w14:textId="58117BE6" w:rsidR="00304504" w:rsidRPr="0027216C" w:rsidRDefault="00304504" w:rsidP="00304504">
            <w:pPr>
              <w:pStyle w:val="Glossar"/>
              <w:spacing w:before="20" w:line="200" w:lineRule="exact"/>
              <w:rPr>
                <w:lang w:val="de-DE"/>
              </w:rPr>
            </w:pPr>
            <w:r w:rsidRPr="0027216C">
              <w:rPr>
                <w:lang w:val="de-DE"/>
              </w:rPr>
              <w:t>3. Grad: Dekubitus mit Verlust aller Hautschichten mit Schädigung oder Nekrose des subkutanen Gewebes, die bis auf die darunter</w:t>
            </w:r>
            <w:r w:rsidR="001A6E8F">
              <w:rPr>
                <w:lang w:val="de-DE"/>
              </w:rPr>
              <w:t xml:space="preserve"> </w:t>
            </w:r>
            <w:r w:rsidRPr="0027216C">
              <w:rPr>
                <w:lang w:val="de-DE"/>
              </w:rPr>
              <w:t>liegende Faszie reichen kann</w:t>
            </w:r>
          </w:p>
          <w:p w14:paraId="3BC1E79B" w14:textId="77777777" w:rsidR="00304504" w:rsidRPr="0027216C" w:rsidRDefault="00304504" w:rsidP="00304504">
            <w:pPr>
              <w:pStyle w:val="Glossar"/>
              <w:spacing w:before="20" w:line="200" w:lineRule="exact"/>
              <w:rPr>
                <w:lang w:val="de-DE"/>
              </w:rPr>
            </w:pPr>
            <w:r w:rsidRPr="0027216C">
              <w:rPr>
                <w:lang w:val="de-DE"/>
              </w:rPr>
              <w:t>4. Grad: Dekubitus mit Nekrose von Muskeln, Knochen oder stützenden Strukturen (z. B. Sehnen oder Gelenkkapseln)</w:t>
            </w:r>
          </w:p>
          <w:p w14:paraId="739F8F70" w14:textId="115640D5" w:rsidR="005416F4" w:rsidRPr="00227976" w:rsidRDefault="00304504" w:rsidP="005416F4">
            <w:pPr>
              <w:pStyle w:val="Glossar"/>
              <w:spacing w:before="20" w:line="200" w:lineRule="exact"/>
              <w:rPr>
                <w:rFonts w:cs="Segoe UI"/>
                <w:szCs w:val="14"/>
              </w:rPr>
            </w:pPr>
            <w:r w:rsidRPr="0027216C">
              <w:rPr>
                <w:rFonts w:cs="Segoe UI"/>
                <w:szCs w:val="14"/>
              </w:rPr>
              <w:t>Von NPUAP/EPUAP wurden bereits 2014 zusätzlich die Kategorien „Vermutete tiefe Gewebeschädigung: Tiefe unbekannt“ und „Keiner Kategorie</w:t>
            </w:r>
            <w:r>
              <w:rPr>
                <w:rFonts w:cs="Segoe UI"/>
                <w:szCs w:val="14"/>
              </w:rPr>
              <w:t xml:space="preserve"> </w:t>
            </w:r>
            <w:r w:rsidRPr="0027216C">
              <w:rPr>
                <w:rFonts w:cs="Segoe UI"/>
                <w:szCs w:val="14"/>
              </w:rPr>
              <w:t>/</w:t>
            </w:r>
            <w:r>
              <w:rPr>
                <w:rFonts w:cs="Segoe UI"/>
                <w:szCs w:val="14"/>
              </w:rPr>
              <w:t xml:space="preserve"> </w:t>
            </w:r>
            <w:r w:rsidRPr="0027216C">
              <w:rPr>
                <w:rFonts w:cs="Segoe UI"/>
                <w:szCs w:val="14"/>
              </w:rPr>
              <w:t>keinem Stadium zuordenbar: Tiefe unbekannt“ ergänzt. (ICW 2023)</w:t>
            </w:r>
          </w:p>
        </w:tc>
      </w:tr>
      <w:tr w:rsidR="005416F4" w:rsidRPr="0027216C" w14:paraId="740C7968" w14:textId="77777777" w:rsidTr="00AE5135">
        <w:tc>
          <w:tcPr>
            <w:tcW w:w="1150" w:type="pct"/>
          </w:tcPr>
          <w:p w14:paraId="226EDAE9" w14:textId="0F3BFECB" w:rsidR="00137E59" w:rsidRPr="0027216C" w:rsidRDefault="00137E59" w:rsidP="005416F4">
            <w:pPr>
              <w:pStyle w:val="Glossar"/>
              <w:keepNext w:val="0"/>
              <w:keepLines w:val="0"/>
              <w:widowControl w:val="0"/>
              <w:spacing w:before="20" w:line="200" w:lineRule="exact"/>
              <w:rPr>
                <w:b/>
                <w:lang w:val="de-DE"/>
              </w:rPr>
            </w:pPr>
            <w:r w:rsidRPr="0027216C">
              <w:t>extramuraler Bereich</w:t>
            </w:r>
          </w:p>
        </w:tc>
        <w:tc>
          <w:tcPr>
            <w:tcW w:w="3850" w:type="pct"/>
          </w:tcPr>
          <w:p w14:paraId="1D5C2BE4" w14:textId="7D0B0713" w:rsidR="00304504" w:rsidRPr="0027216C" w:rsidRDefault="00304504" w:rsidP="005416F4">
            <w:pPr>
              <w:pStyle w:val="Glossar"/>
              <w:spacing w:before="20" w:line="200" w:lineRule="exact"/>
              <w:rPr>
                <w:lang w:val="de-DE"/>
              </w:rPr>
            </w:pPr>
            <w:r w:rsidRPr="0027216C">
              <w:t>(ambulanter) Versorgungsbereich außerhalb bettenführender Krankenanstalten (extramural = außerhalb der Krankenanstalten): selbstständige Ambulatorien (inklusive eigener Einrichtungen der Sozialversicherungsträger), Gruppenpraxen, Einzelpraxen (Ärztinnen</w:t>
            </w:r>
            <w:r>
              <w:t xml:space="preserve"> bzw. </w:t>
            </w:r>
            <w:r w:rsidRPr="0027216C">
              <w:t>Ärzte oder zur freiberuflichen Tätigkeit berechtigte Angehörige anderer Gesundheitsberufe) (ÖSG 2023). Auch mobile Pflegedienste sind hier hinzuzuzählen.</w:t>
            </w:r>
          </w:p>
        </w:tc>
      </w:tr>
      <w:tr w:rsidR="005416F4" w:rsidRPr="0027216C" w14:paraId="20201353" w14:textId="77777777" w:rsidTr="00AE5135">
        <w:tc>
          <w:tcPr>
            <w:tcW w:w="1150" w:type="pct"/>
          </w:tcPr>
          <w:p w14:paraId="1D9A71BC" w14:textId="6AE13391" w:rsidR="005416F4" w:rsidRPr="0027216C" w:rsidRDefault="005416F4" w:rsidP="005416F4">
            <w:pPr>
              <w:pStyle w:val="Glossar"/>
              <w:keepNext w:val="0"/>
              <w:keepLines w:val="0"/>
              <w:widowControl w:val="0"/>
              <w:spacing w:before="20" w:line="200" w:lineRule="exact"/>
              <w:rPr>
                <w:b/>
                <w:lang w:val="de-DE"/>
              </w:rPr>
            </w:pPr>
            <w:proofErr w:type="spellStart"/>
            <w:proofErr w:type="gramStart"/>
            <w:r w:rsidRPr="0027216C">
              <w:rPr>
                <w:lang w:val="de-DE"/>
              </w:rPr>
              <w:t>Gesundheitsdiensteanbieter:innen</w:t>
            </w:r>
            <w:proofErr w:type="spellEnd"/>
            <w:proofErr w:type="gramEnd"/>
            <w:r w:rsidR="00234EBF">
              <w:rPr>
                <w:lang w:val="de-DE"/>
              </w:rPr>
              <w:t xml:space="preserve"> (GDA)</w:t>
            </w:r>
          </w:p>
        </w:tc>
        <w:tc>
          <w:tcPr>
            <w:tcW w:w="3850" w:type="pct"/>
          </w:tcPr>
          <w:p w14:paraId="490A02F3" w14:textId="4BBC4D05" w:rsidR="005416F4" w:rsidRPr="0027216C" w:rsidRDefault="005416F4" w:rsidP="005416F4">
            <w:pPr>
              <w:pStyle w:val="Glossar"/>
              <w:spacing w:before="20" w:line="200" w:lineRule="exact"/>
              <w:rPr>
                <w:lang w:val="de-DE"/>
              </w:rPr>
            </w:pPr>
            <w:r w:rsidRPr="0027216C">
              <w:rPr>
                <w:color w:val="auto"/>
                <w:lang w:val="de-DE"/>
              </w:rPr>
              <w:t>alle Personen und Einrichtungen, die Gesundheitsdienstleistungen – wie etwa medizinische Behandlung, Untersuchung</w:t>
            </w:r>
            <w:r w:rsidRPr="0027216C">
              <w:rPr>
                <w:lang w:val="de-DE"/>
              </w:rPr>
              <w:t xml:space="preserve">, Pflege etc. </w:t>
            </w:r>
            <w:r w:rsidR="00492A5B">
              <w:rPr>
                <w:lang w:val="de-DE"/>
              </w:rPr>
              <w:t xml:space="preserve">– </w:t>
            </w:r>
            <w:r w:rsidRPr="0027216C">
              <w:rPr>
                <w:lang w:val="de-DE"/>
              </w:rPr>
              <w:t xml:space="preserve">erbringen oder Patientinnen und Patienten bei der Wahrnehmung ihrer Rechte unterstützen (vgl. gesetzliche Definition § 2 Z 2 </w:t>
            </w:r>
            <w:proofErr w:type="spellStart"/>
            <w:r w:rsidRPr="0027216C">
              <w:t>GTelG</w:t>
            </w:r>
            <w:proofErr w:type="spellEnd"/>
            <w:r w:rsidRPr="0027216C" w:rsidDel="00F24C98">
              <w:rPr>
                <w:lang w:val="de-DE"/>
              </w:rPr>
              <w:t xml:space="preserve"> </w:t>
            </w:r>
            <w:r w:rsidRPr="0027216C">
              <w:rPr>
                <w:lang w:val="de-DE"/>
              </w:rPr>
              <w:t>2012)</w:t>
            </w:r>
          </w:p>
        </w:tc>
      </w:tr>
      <w:tr w:rsidR="005416F4" w:rsidRPr="0027216C" w14:paraId="756B4B91" w14:textId="77777777" w:rsidTr="00AE5135">
        <w:tc>
          <w:tcPr>
            <w:tcW w:w="1150" w:type="pct"/>
          </w:tcPr>
          <w:p w14:paraId="099211FA" w14:textId="26CCCE42" w:rsidR="005416F4" w:rsidRPr="0027216C" w:rsidRDefault="00492A5B" w:rsidP="005416F4">
            <w:pPr>
              <w:pStyle w:val="Glossar"/>
              <w:keepNext w:val="0"/>
              <w:keepLines w:val="0"/>
              <w:widowControl w:val="0"/>
              <w:spacing w:before="20" w:line="200" w:lineRule="exact"/>
              <w:rPr>
                <w:b/>
                <w:lang w:val="de-DE"/>
              </w:rPr>
            </w:pPr>
            <w:r>
              <w:rPr>
                <w:lang w:val="de-DE"/>
              </w:rPr>
              <w:t>i</w:t>
            </w:r>
            <w:r w:rsidR="005416F4" w:rsidRPr="0027216C">
              <w:rPr>
                <w:lang w:val="de-DE"/>
              </w:rPr>
              <w:t>ntegrierte Versorgung</w:t>
            </w:r>
          </w:p>
        </w:tc>
        <w:tc>
          <w:tcPr>
            <w:tcW w:w="3850" w:type="pct"/>
          </w:tcPr>
          <w:p w14:paraId="43C8477C" w14:textId="6B3C50F2" w:rsidR="005416F4" w:rsidRPr="0027216C" w:rsidRDefault="005416F4" w:rsidP="005416F4">
            <w:pPr>
              <w:pStyle w:val="Glossar"/>
              <w:spacing w:before="20" w:line="200" w:lineRule="exact"/>
              <w:rPr>
                <w:lang w:val="de-DE"/>
              </w:rPr>
            </w:pPr>
            <w:r w:rsidRPr="0027216C">
              <w:rPr>
                <w:lang w:val="de-DE"/>
              </w:rPr>
              <w:t xml:space="preserve">Integrierte Versorgung (IV) ist eine patientenorientierte, kontinuierliche, sektorenübergreifende, interdisziplinäre und/oder multiprofessionelle und nach standardisierten </w:t>
            </w:r>
            <w:r w:rsidR="00A504F8">
              <w:rPr>
                <w:lang w:val="de-DE"/>
              </w:rPr>
              <w:br/>
            </w:r>
            <w:r w:rsidRPr="0027216C">
              <w:rPr>
                <w:lang w:val="de-DE"/>
              </w:rPr>
              <w:t>Versorgungskonzepten ausgerichtete Versorgung. Sie umfasst Prozess- und Organisationsintegration. (ÖSG 2023)</w:t>
            </w:r>
          </w:p>
        </w:tc>
      </w:tr>
      <w:tr w:rsidR="005416F4" w:rsidRPr="0027216C" w14:paraId="4AF764A1" w14:textId="77777777" w:rsidTr="00AE5135">
        <w:tc>
          <w:tcPr>
            <w:tcW w:w="1150" w:type="pct"/>
          </w:tcPr>
          <w:p w14:paraId="303EEC9E" w14:textId="2FB300A8" w:rsidR="005416F4" w:rsidRPr="0027216C" w:rsidRDefault="005416F4" w:rsidP="005416F4">
            <w:pPr>
              <w:pStyle w:val="Glossar"/>
              <w:keepNext w:val="0"/>
              <w:keepLines w:val="0"/>
              <w:widowControl w:val="0"/>
              <w:spacing w:before="20" w:line="200" w:lineRule="exact"/>
              <w:rPr>
                <w:b/>
                <w:lang w:val="de-DE"/>
              </w:rPr>
            </w:pPr>
            <w:r w:rsidRPr="0027216C">
              <w:rPr>
                <w:lang w:val="de-DE"/>
              </w:rPr>
              <w:lastRenderedPageBreak/>
              <w:t>interdisziplinär</w:t>
            </w:r>
          </w:p>
        </w:tc>
        <w:tc>
          <w:tcPr>
            <w:tcW w:w="3850" w:type="pct"/>
          </w:tcPr>
          <w:p w14:paraId="79083573" w14:textId="35002B5E" w:rsidR="005416F4" w:rsidRPr="0027216C" w:rsidRDefault="005416F4" w:rsidP="005416F4">
            <w:pPr>
              <w:pStyle w:val="Glossar"/>
              <w:spacing w:before="20" w:line="200" w:lineRule="exact"/>
              <w:rPr>
                <w:lang w:val="de-DE"/>
              </w:rPr>
            </w:pPr>
            <w:r w:rsidRPr="0027216C">
              <w:rPr>
                <w:lang w:val="de-DE"/>
              </w:rPr>
              <w:t>GDA derselben Berufsgruppe mit unterschiedlichen Disziplinen (z. B. ärztl</w:t>
            </w:r>
            <w:r w:rsidR="00A504F8">
              <w:rPr>
                <w:lang w:val="de-DE"/>
              </w:rPr>
              <w:t>iche</w:t>
            </w:r>
            <w:r w:rsidRPr="0027216C">
              <w:rPr>
                <w:lang w:val="de-DE"/>
              </w:rPr>
              <w:t xml:space="preserve"> Fachrichtungen, DGPK mit unterschiedlichen Spezialisierungen)</w:t>
            </w:r>
          </w:p>
        </w:tc>
      </w:tr>
      <w:tr w:rsidR="005416F4" w:rsidRPr="0027216C" w14:paraId="2B3AF270" w14:textId="77777777" w:rsidTr="00AE5135">
        <w:tc>
          <w:tcPr>
            <w:tcW w:w="1150" w:type="pct"/>
          </w:tcPr>
          <w:p w14:paraId="0FDC450A" w14:textId="7EFD9E25" w:rsidR="005416F4" w:rsidRPr="0027216C" w:rsidRDefault="005416F4" w:rsidP="005416F4">
            <w:pPr>
              <w:pStyle w:val="Glossar"/>
              <w:keepNext w:val="0"/>
              <w:keepLines w:val="0"/>
              <w:widowControl w:val="0"/>
              <w:spacing w:before="20" w:line="200" w:lineRule="exact"/>
            </w:pPr>
            <w:r w:rsidRPr="0027216C">
              <w:t xml:space="preserve">interprofessionelle </w:t>
            </w:r>
            <w:r w:rsidR="00A504F8">
              <w:br/>
            </w:r>
            <w:r w:rsidRPr="0027216C">
              <w:t>Zusammenarbeit</w:t>
            </w:r>
          </w:p>
        </w:tc>
        <w:tc>
          <w:tcPr>
            <w:tcW w:w="3850" w:type="pct"/>
          </w:tcPr>
          <w:p w14:paraId="10514E3A" w14:textId="5AB04598" w:rsidR="005416F4" w:rsidRPr="0027216C" w:rsidRDefault="005416F4" w:rsidP="005416F4">
            <w:pPr>
              <w:pStyle w:val="Glossar"/>
              <w:spacing w:before="20" w:line="200" w:lineRule="exact"/>
            </w:pPr>
            <w:r w:rsidRPr="0027216C">
              <w:t xml:space="preserve">Interprofessionelle Zusammenarbeit findet statt, wenn zwei oder mehr Personen mit </w:t>
            </w:r>
            <w:r w:rsidR="00A504F8">
              <w:br/>
            </w:r>
            <w:r w:rsidRPr="0027216C">
              <w:t>unterschiedlichem berufliche</w:t>
            </w:r>
            <w:r w:rsidR="00A504F8">
              <w:t>n</w:t>
            </w:r>
            <w:r w:rsidRPr="0027216C">
              <w:t xml:space="preserve"> Hintergrund und sich ergänzenden Fähigkeiten zusammenarbeiten, um ein gemeinsames Verständnis zu schaffen, zu dem keine von ihnen </w:t>
            </w:r>
            <w:r w:rsidR="00A504F8">
              <w:br/>
            </w:r>
            <w:r w:rsidRPr="0027216C">
              <w:t xml:space="preserve">zuvor in der Lage war oder </w:t>
            </w:r>
            <w:r w:rsidR="00AE5135" w:rsidRPr="0027216C">
              <w:t>dass</w:t>
            </w:r>
            <w:r w:rsidRPr="0027216C">
              <w:t xml:space="preserve"> sie allein </w:t>
            </w:r>
            <w:r w:rsidR="00A504F8">
              <w:t xml:space="preserve">nicht </w:t>
            </w:r>
            <w:r w:rsidRPr="0027216C">
              <w:t>hätten erreichen können (BMSGPK 2024b, übersetzt nach WHO 2010).</w:t>
            </w:r>
          </w:p>
        </w:tc>
      </w:tr>
      <w:tr w:rsidR="005416F4" w:rsidRPr="0027216C" w14:paraId="63E39852" w14:textId="77777777" w:rsidTr="00AE5135">
        <w:tc>
          <w:tcPr>
            <w:tcW w:w="1150" w:type="pct"/>
          </w:tcPr>
          <w:p w14:paraId="3B91DB4C" w14:textId="77777777" w:rsidR="005416F4" w:rsidRPr="0027216C" w:rsidRDefault="005416F4" w:rsidP="005416F4">
            <w:pPr>
              <w:pStyle w:val="Glossar"/>
              <w:keepNext w:val="0"/>
              <w:keepLines w:val="0"/>
              <w:widowControl w:val="0"/>
              <w:spacing w:before="20" w:line="200" w:lineRule="exact"/>
              <w:rPr>
                <w:b/>
                <w:lang w:val="de-DE"/>
              </w:rPr>
            </w:pPr>
            <w:r w:rsidRPr="0027216C">
              <w:t>intramuraler Bereich</w:t>
            </w:r>
          </w:p>
        </w:tc>
        <w:tc>
          <w:tcPr>
            <w:tcW w:w="3850" w:type="pct"/>
          </w:tcPr>
          <w:p w14:paraId="6596C3D4" w14:textId="77777777" w:rsidR="005416F4" w:rsidRPr="0027216C" w:rsidRDefault="005416F4" w:rsidP="005416F4">
            <w:pPr>
              <w:pStyle w:val="Glossar"/>
              <w:spacing w:before="20" w:line="200" w:lineRule="exact"/>
              <w:rPr>
                <w:lang w:val="de-DE"/>
              </w:rPr>
            </w:pPr>
            <w:r w:rsidRPr="0027216C">
              <w:t>(intramural = innerhalb der Krankenanstalten); stationärer und spitalsambulanter Versorgungsbereich in bettenführenden Krankenanstalten (ÖSG 2023)</w:t>
            </w:r>
          </w:p>
        </w:tc>
      </w:tr>
      <w:tr w:rsidR="005416F4" w:rsidRPr="0027216C" w14:paraId="5252BE26" w14:textId="77777777" w:rsidTr="00AE5135">
        <w:tc>
          <w:tcPr>
            <w:tcW w:w="1150" w:type="pct"/>
          </w:tcPr>
          <w:p w14:paraId="2D5768BE" w14:textId="032E089F" w:rsidR="005416F4" w:rsidRPr="0027216C" w:rsidRDefault="00434AF5" w:rsidP="005416F4">
            <w:pPr>
              <w:pStyle w:val="Glossar"/>
              <w:keepNext w:val="0"/>
              <w:keepLines w:val="0"/>
              <w:widowControl w:val="0"/>
              <w:spacing w:before="20" w:line="200" w:lineRule="exact"/>
              <w:rPr>
                <w:rFonts w:cs="Lucida Sans Unicode"/>
                <w:b/>
                <w:lang w:val="de-DE"/>
              </w:rPr>
            </w:pPr>
            <w:r>
              <w:rPr>
                <w:color w:val="auto"/>
              </w:rPr>
              <w:t>m</w:t>
            </w:r>
            <w:r w:rsidR="005416F4" w:rsidRPr="0027216C">
              <w:rPr>
                <w:color w:val="auto"/>
              </w:rPr>
              <w:t>ultiprofessionell</w:t>
            </w:r>
          </w:p>
        </w:tc>
        <w:tc>
          <w:tcPr>
            <w:tcW w:w="3850" w:type="pct"/>
          </w:tcPr>
          <w:p w14:paraId="0D5A0A88" w14:textId="462ECA43" w:rsidR="005416F4" w:rsidRPr="0027216C" w:rsidRDefault="005416F4" w:rsidP="005416F4">
            <w:pPr>
              <w:pStyle w:val="Glossar"/>
              <w:spacing w:before="20" w:line="200" w:lineRule="exact"/>
              <w:rPr>
                <w:rFonts w:cs="Lucida Sans Unicode"/>
                <w:lang w:val="de-DE"/>
              </w:rPr>
            </w:pPr>
            <w:r w:rsidRPr="0027216C">
              <w:t xml:space="preserve">GDA mehrerer Berufsgruppen (z. B. Ärztinnen </w:t>
            </w:r>
            <w:r>
              <w:t xml:space="preserve">und Ärzte sowie </w:t>
            </w:r>
            <w:r w:rsidRPr="0027216C">
              <w:t>Pflegekräfte)</w:t>
            </w:r>
          </w:p>
        </w:tc>
      </w:tr>
      <w:tr w:rsidR="005416F4" w:rsidRPr="0027216C" w14:paraId="34A05F46" w14:textId="77777777" w:rsidTr="00AE5135">
        <w:tc>
          <w:tcPr>
            <w:tcW w:w="1150" w:type="pct"/>
          </w:tcPr>
          <w:p w14:paraId="6DC59532" w14:textId="2E62DFEF" w:rsidR="005416F4" w:rsidRPr="0027216C" w:rsidRDefault="005416F4" w:rsidP="005416F4">
            <w:pPr>
              <w:pStyle w:val="Glossar"/>
              <w:keepNext w:val="0"/>
              <w:keepLines w:val="0"/>
              <w:widowControl w:val="0"/>
              <w:spacing w:before="20" w:line="200" w:lineRule="exact"/>
              <w:rPr>
                <w:color w:val="auto"/>
              </w:rPr>
            </w:pPr>
            <w:proofErr w:type="spellStart"/>
            <w:r w:rsidRPr="0027216C">
              <w:rPr>
                <w:color w:val="auto"/>
              </w:rPr>
              <w:t>Nekrosektomie</w:t>
            </w:r>
            <w:proofErr w:type="spellEnd"/>
          </w:p>
        </w:tc>
        <w:tc>
          <w:tcPr>
            <w:tcW w:w="3850" w:type="pct"/>
          </w:tcPr>
          <w:p w14:paraId="4FF9939A" w14:textId="324CF66B" w:rsidR="005416F4" w:rsidRPr="0027216C" w:rsidRDefault="005416F4" w:rsidP="005416F4">
            <w:pPr>
              <w:pStyle w:val="Glossar"/>
              <w:spacing w:before="20" w:line="200" w:lineRule="exact"/>
            </w:pPr>
            <w:r w:rsidRPr="0027216C">
              <w:t xml:space="preserve">Eine </w:t>
            </w:r>
            <w:proofErr w:type="spellStart"/>
            <w:r w:rsidRPr="0027216C">
              <w:t>Nekrosektomie</w:t>
            </w:r>
            <w:proofErr w:type="spellEnd"/>
            <w:r w:rsidRPr="0027216C">
              <w:t xml:space="preserve"> ist ein chirurgischer Eingriff, bei dem abgestorbenes Gewebe (Nekrose) aus dem Körper entfernt wird. Dies geschieht in der Regel, um die Ausbreitung von Infektionen zu verhindern, die Wundheilung zu fördern und Komplikationen, wie z. B. eine Sepsis</w:t>
            </w:r>
            <w:r w:rsidR="00434AF5">
              <w:t>,</w:t>
            </w:r>
            <w:r w:rsidRPr="0027216C">
              <w:t xml:space="preserve"> zu vermeiden.</w:t>
            </w:r>
          </w:p>
        </w:tc>
      </w:tr>
      <w:tr w:rsidR="005416F4" w:rsidRPr="0027216C" w14:paraId="1E8572FE" w14:textId="77777777" w:rsidTr="00AE5135">
        <w:tc>
          <w:tcPr>
            <w:tcW w:w="1150" w:type="pct"/>
          </w:tcPr>
          <w:p w14:paraId="1F4CFBE4" w14:textId="601E98CE" w:rsidR="005416F4" w:rsidRPr="0027216C" w:rsidRDefault="005416F4" w:rsidP="005416F4">
            <w:pPr>
              <w:pStyle w:val="Glossar"/>
              <w:keepNext w:val="0"/>
              <w:keepLines w:val="0"/>
              <w:widowControl w:val="0"/>
              <w:spacing w:before="20" w:line="200" w:lineRule="exact"/>
              <w:rPr>
                <w:color w:val="auto"/>
              </w:rPr>
            </w:pPr>
            <w:r w:rsidRPr="0027216C">
              <w:rPr>
                <w:color w:val="auto"/>
              </w:rPr>
              <w:t>Patienteninformation</w:t>
            </w:r>
          </w:p>
        </w:tc>
        <w:tc>
          <w:tcPr>
            <w:tcW w:w="3850" w:type="pct"/>
          </w:tcPr>
          <w:p w14:paraId="676811F3" w14:textId="376AADB6" w:rsidR="005416F4" w:rsidRPr="0027216C" w:rsidRDefault="005416F4" w:rsidP="005416F4">
            <w:pPr>
              <w:pStyle w:val="Glossar"/>
              <w:spacing w:before="20" w:line="200" w:lineRule="exact"/>
            </w:pPr>
            <w:r w:rsidRPr="0027216C">
              <w:t xml:space="preserve">Die Information für An- und Zugehörige und gesetzliche </w:t>
            </w:r>
            <w:proofErr w:type="spellStart"/>
            <w:proofErr w:type="gramStart"/>
            <w:r w:rsidRPr="0027216C">
              <w:t>Vertreter:innen</w:t>
            </w:r>
            <w:proofErr w:type="spellEnd"/>
            <w:proofErr w:type="gramEnd"/>
            <w:r w:rsidRPr="0027216C">
              <w:t xml:space="preserve"> ist bei diesem Begriff mitgemeint.</w:t>
            </w:r>
          </w:p>
        </w:tc>
      </w:tr>
      <w:tr w:rsidR="005416F4" w:rsidRPr="0027216C" w14:paraId="24DBC1AF" w14:textId="77777777" w:rsidTr="00AE5135">
        <w:tc>
          <w:tcPr>
            <w:tcW w:w="1150" w:type="pct"/>
          </w:tcPr>
          <w:p w14:paraId="4B55A13A" w14:textId="62280978" w:rsidR="005416F4" w:rsidRPr="0027216C" w:rsidRDefault="005416F4" w:rsidP="005416F4">
            <w:pPr>
              <w:pStyle w:val="Glossar"/>
              <w:keepNext w:val="0"/>
              <w:keepLines w:val="0"/>
              <w:widowControl w:val="0"/>
              <w:spacing w:before="20" w:line="200" w:lineRule="exact"/>
              <w:rPr>
                <w:b/>
                <w:color w:val="7030A0"/>
              </w:rPr>
            </w:pPr>
            <w:r w:rsidRPr="0027216C">
              <w:t>periphere arterielle Verschlusskrankheit (pAVK)</w:t>
            </w:r>
          </w:p>
        </w:tc>
        <w:tc>
          <w:tcPr>
            <w:tcW w:w="3850" w:type="pct"/>
          </w:tcPr>
          <w:p w14:paraId="2F171DB7" w14:textId="6C11128B" w:rsidR="005416F4" w:rsidRPr="0027216C" w:rsidRDefault="005416F4" w:rsidP="005416F4">
            <w:pPr>
              <w:pStyle w:val="Glossar"/>
              <w:spacing w:before="20" w:line="200" w:lineRule="exact"/>
              <w:rPr>
                <w:strike/>
              </w:rPr>
            </w:pPr>
            <w:r w:rsidRPr="0027216C">
              <w:rPr>
                <w:rFonts w:cs="Segoe UI"/>
                <w:szCs w:val="14"/>
              </w:rPr>
              <w:t xml:space="preserve">pAVK bezeichnet eine arterielle Durchblutungsstörung der </w:t>
            </w:r>
            <w:r w:rsidR="00434AF5">
              <w:rPr>
                <w:rFonts w:cs="Segoe UI"/>
                <w:szCs w:val="14"/>
              </w:rPr>
              <w:t>die E</w:t>
            </w:r>
            <w:r w:rsidRPr="0027216C">
              <w:rPr>
                <w:rFonts w:cs="Segoe UI"/>
                <w:szCs w:val="14"/>
              </w:rPr>
              <w:t>xtremitäten</w:t>
            </w:r>
            <w:r w:rsidR="00434AF5">
              <w:rPr>
                <w:rFonts w:cs="Segoe UI"/>
                <w:szCs w:val="14"/>
              </w:rPr>
              <w:t xml:space="preserve"> </w:t>
            </w:r>
            <w:r w:rsidRPr="0027216C">
              <w:rPr>
                <w:rFonts w:cs="Segoe UI"/>
                <w:szCs w:val="14"/>
              </w:rPr>
              <w:t>versorgenden Arterien bzw. seltener der Aorta. Die chronische Form ist zumeist durch Atherosklerose verursacht (AWMF 2024b).</w:t>
            </w:r>
          </w:p>
        </w:tc>
      </w:tr>
      <w:tr w:rsidR="005416F4" w:rsidRPr="0027216C" w14:paraId="28C5534D" w14:textId="77777777" w:rsidTr="00AE5135">
        <w:tc>
          <w:tcPr>
            <w:tcW w:w="1150" w:type="pct"/>
          </w:tcPr>
          <w:p w14:paraId="1DA22600" w14:textId="1885DAD0" w:rsidR="005416F4" w:rsidRPr="0027216C" w:rsidRDefault="005416F4" w:rsidP="005416F4">
            <w:pPr>
              <w:pStyle w:val="Glossar"/>
              <w:keepNext w:val="0"/>
              <w:keepLines w:val="0"/>
              <w:widowControl w:val="0"/>
              <w:spacing w:before="20" w:line="200" w:lineRule="exact"/>
              <w:rPr>
                <w:b/>
                <w:color w:val="7030A0"/>
              </w:rPr>
            </w:pPr>
            <w:proofErr w:type="spellStart"/>
            <w:r w:rsidRPr="0027216C">
              <w:rPr>
                <w:color w:val="auto"/>
                <w:lang w:val="en-AU"/>
              </w:rPr>
              <w:t>Risikoassessment</w:t>
            </w:r>
            <w:proofErr w:type="spellEnd"/>
          </w:p>
        </w:tc>
        <w:tc>
          <w:tcPr>
            <w:tcW w:w="3850" w:type="pct"/>
          </w:tcPr>
          <w:p w14:paraId="70989627" w14:textId="67AB4948" w:rsidR="005416F4" w:rsidRPr="0027216C" w:rsidRDefault="005416F4" w:rsidP="005416F4">
            <w:pPr>
              <w:pStyle w:val="Glossar"/>
              <w:spacing w:before="20" w:line="200" w:lineRule="exact"/>
            </w:pPr>
            <w:r w:rsidRPr="0027216C">
              <w:rPr>
                <w:lang w:val="de-DE"/>
              </w:rPr>
              <w:t xml:space="preserve">Das </w:t>
            </w:r>
            <w:proofErr w:type="spellStart"/>
            <w:r w:rsidRPr="0027216C">
              <w:rPr>
                <w:lang w:val="de-DE"/>
              </w:rPr>
              <w:t>Risikoassessment</w:t>
            </w:r>
            <w:proofErr w:type="spellEnd"/>
            <w:r w:rsidRPr="0027216C">
              <w:rPr>
                <w:lang w:val="de-DE"/>
              </w:rPr>
              <w:t xml:space="preserve"> ist eine ausführliche Einschätzung des Risikos, eine Wunde zu entwickeln. Das </w:t>
            </w:r>
            <w:proofErr w:type="spellStart"/>
            <w:r w:rsidRPr="0027216C">
              <w:rPr>
                <w:lang w:val="de-DE"/>
              </w:rPr>
              <w:t>Risikoassessment</w:t>
            </w:r>
            <w:proofErr w:type="spellEnd"/>
            <w:r w:rsidRPr="0027216C">
              <w:rPr>
                <w:lang w:val="de-DE"/>
              </w:rPr>
              <w:t xml:space="preserve"> bezieht generelle Faktoren (wie z</w:t>
            </w:r>
            <w:r w:rsidR="00434AF5" w:rsidRPr="0027216C">
              <w:rPr>
                <w:lang w:val="de-DE"/>
              </w:rPr>
              <w:t>.</w:t>
            </w:r>
            <w:r w:rsidR="00434AF5">
              <w:rPr>
                <w:lang w:val="de-DE"/>
              </w:rPr>
              <w:t> </w:t>
            </w:r>
            <w:r w:rsidRPr="0027216C">
              <w:rPr>
                <w:lang w:val="de-DE"/>
              </w:rPr>
              <w:t>B. Grunderkrankungen) und spezifische Faktoren (wie z</w:t>
            </w:r>
            <w:r w:rsidR="00434AF5" w:rsidRPr="0027216C">
              <w:rPr>
                <w:lang w:val="de-DE"/>
              </w:rPr>
              <w:t>.</w:t>
            </w:r>
            <w:r w:rsidR="00434AF5">
              <w:rPr>
                <w:lang w:val="de-DE"/>
              </w:rPr>
              <w:t> </w:t>
            </w:r>
            <w:r w:rsidRPr="0027216C">
              <w:rPr>
                <w:lang w:val="de-DE"/>
              </w:rPr>
              <w:t>B. verwendete Medizinprodukte) mit ein und baut auf dem Risikoscreening auf (EPUAP 2019, S.</w:t>
            </w:r>
            <w:r w:rsidR="00434AF5">
              <w:rPr>
                <w:lang w:val="de-DE"/>
              </w:rPr>
              <w:t xml:space="preserve"> </w:t>
            </w:r>
            <w:r w:rsidRPr="0027216C">
              <w:rPr>
                <w:lang w:val="de-DE"/>
              </w:rPr>
              <w:t>60).</w:t>
            </w:r>
          </w:p>
        </w:tc>
      </w:tr>
      <w:tr w:rsidR="005416F4" w:rsidRPr="0027216C" w14:paraId="47231EEC" w14:textId="77777777" w:rsidTr="00AE5135">
        <w:tc>
          <w:tcPr>
            <w:tcW w:w="1150" w:type="pct"/>
          </w:tcPr>
          <w:p w14:paraId="351971A3" w14:textId="77777777" w:rsidR="005416F4" w:rsidRPr="0027216C" w:rsidRDefault="005416F4" w:rsidP="005416F4">
            <w:pPr>
              <w:pStyle w:val="Glossar"/>
              <w:keepNext w:val="0"/>
              <w:keepLines w:val="0"/>
              <w:widowControl w:val="0"/>
              <w:spacing w:before="20" w:line="200" w:lineRule="exact"/>
              <w:rPr>
                <w:b/>
              </w:rPr>
            </w:pPr>
            <w:proofErr w:type="spellStart"/>
            <w:r w:rsidRPr="0027216C">
              <w:rPr>
                <w:color w:val="auto"/>
                <w:lang w:val="en-AU"/>
              </w:rPr>
              <w:t>Risikoscreening</w:t>
            </w:r>
            <w:proofErr w:type="spellEnd"/>
          </w:p>
        </w:tc>
        <w:tc>
          <w:tcPr>
            <w:tcW w:w="3850" w:type="pct"/>
          </w:tcPr>
          <w:p w14:paraId="2C294AB0" w14:textId="2858AF32" w:rsidR="005416F4" w:rsidRPr="0027216C" w:rsidRDefault="005416F4" w:rsidP="005416F4">
            <w:pPr>
              <w:pStyle w:val="Glossar"/>
              <w:spacing w:before="20" w:line="200" w:lineRule="exact"/>
            </w:pPr>
            <w:r w:rsidRPr="0027216C">
              <w:rPr>
                <w:lang w:val="de-DE"/>
              </w:rPr>
              <w:t xml:space="preserve">Das Ziel des Risikoscreenings ist, schnell einzuschätzen, ob bei der Person möglicherweise ein erhöhtes Risiko vorliegt, eine Wunde zu entwickeln. Wenn dies nicht ausgeschlossen werden kann, soll ein </w:t>
            </w:r>
            <w:proofErr w:type="spellStart"/>
            <w:r w:rsidRPr="0027216C">
              <w:rPr>
                <w:lang w:val="de-DE"/>
              </w:rPr>
              <w:t>Risikoassessment</w:t>
            </w:r>
            <w:proofErr w:type="spellEnd"/>
            <w:r w:rsidRPr="0027216C">
              <w:rPr>
                <w:lang w:val="de-DE"/>
              </w:rPr>
              <w:t xml:space="preserve"> durchgeführt werden (EPUAP 2019, </w:t>
            </w:r>
            <w:r w:rsidR="00434AF5">
              <w:rPr>
                <w:lang w:val="de-DE"/>
              </w:rPr>
              <w:br/>
            </w:r>
            <w:r w:rsidRPr="0027216C">
              <w:rPr>
                <w:lang w:val="de-DE"/>
              </w:rPr>
              <w:t>S. 59).</w:t>
            </w:r>
          </w:p>
        </w:tc>
      </w:tr>
      <w:tr w:rsidR="005416F4" w:rsidRPr="0027216C" w14:paraId="6B1A6700" w14:textId="77777777" w:rsidTr="00AE5135">
        <w:tc>
          <w:tcPr>
            <w:tcW w:w="1150" w:type="pct"/>
          </w:tcPr>
          <w:p w14:paraId="29662D89" w14:textId="31115279" w:rsidR="005416F4" w:rsidRPr="0027216C" w:rsidRDefault="005416F4" w:rsidP="005416F4">
            <w:pPr>
              <w:pStyle w:val="Glossar"/>
              <w:keepNext w:val="0"/>
              <w:keepLines w:val="0"/>
              <w:widowControl w:val="0"/>
              <w:spacing w:before="20" w:line="200" w:lineRule="exact"/>
              <w:rPr>
                <w:b/>
                <w:lang w:val="en-AU"/>
              </w:rPr>
            </w:pPr>
            <w:proofErr w:type="spellStart"/>
            <w:r w:rsidRPr="0027216C">
              <w:rPr>
                <w:lang w:val="en-AU"/>
              </w:rPr>
              <w:t>Ulcus</w:t>
            </w:r>
            <w:proofErr w:type="spellEnd"/>
            <w:r w:rsidRPr="0027216C">
              <w:rPr>
                <w:lang w:val="en-AU"/>
              </w:rPr>
              <w:t xml:space="preserve"> cruris venosum</w:t>
            </w:r>
          </w:p>
        </w:tc>
        <w:tc>
          <w:tcPr>
            <w:tcW w:w="3850" w:type="pct"/>
          </w:tcPr>
          <w:p w14:paraId="4FEDA687" w14:textId="70D5242A" w:rsidR="005416F4" w:rsidRPr="0027216C" w:rsidRDefault="005416F4" w:rsidP="005416F4">
            <w:pPr>
              <w:pStyle w:val="Glossar"/>
              <w:spacing w:before="20" w:line="200" w:lineRule="exact"/>
              <w:rPr>
                <w:lang w:val="de-DE"/>
              </w:rPr>
            </w:pPr>
            <w:r w:rsidRPr="0027216C">
              <w:rPr>
                <w:rFonts w:cs="Segoe UI"/>
                <w:szCs w:val="14"/>
              </w:rPr>
              <w:t xml:space="preserve">Das Ulcus cruris venosum (UCV) stellt die schwerste Verlaufsform einer chronischen </w:t>
            </w:r>
            <w:r w:rsidR="00434AF5">
              <w:rPr>
                <w:rFonts w:cs="Segoe UI"/>
                <w:szCs w:val="14"/>
              </w:rPr>
              <w:br/>
            </w:r>
            <w:r w:rsidRPr="0027216C">
              <w:rPr>
                <w:rFonts w:cs="Segoe UI"/>
                <w:szCs w:val="14"/>
              </w:rPr>
              <w:t xml:space="preserve">venösen Insuffizienz (CVI) dar und wird gemäß CEAP-Klassifikation als Stadium C6 in </w:t>
            </w:r>
            <w:r w:rsidR="00434AF5">
              <w:rPr>
                <w:rFonts w:cs="Segoe UI"/>
                <w:szCs w:val="14"/>
              </w:rPr>
              <w:br/>
            </w:r>
            <w:r w:rsidRPr="0027216C">
              <w:rPr>
                <w:rFonts w:cs="Segoe UI"/>
                <w:szCs w:val="14"/>
              </w:rPr>
              <w:t>florider bzw. C5 in abgeheilter Form definiert. Ein UCV ist von Beginn an als chronische Wunde zu sehen. (AWMF 2024a)</w:t>
            </w:r>
          </w:p>
        </w:tc>
      </w:tr>
      <w:tr w:rsidR="005416F4" w:rsidRPr="0027216C" w14:paraId="589FD51C" w14:textId="77777777" w:rsidTr="00AE5135">
        <w:tc>
          <w:tcPr>
            <w:tcW w:w="1150" w:type="pct"/>
          </w:tcPr>
          <w:p w14:paraId="6EEE62A8" w14:textId="65EB8CCF" w:rsidR="005416F4" w:rsidRPr="0027216C" w:rsidRDefault="005416F4" w:rsidP="005416F4">
            <w:pPr>
              <w:pStyle w:val="Glossar"/>
              <w:keepNext w:val="0"/>
              <w:keepLines w:val="0"/>
              <w:widowControl w:val="0"/>
              <w:spacing w:before="20" w:line="200" w:lineRule="exact"/>
              <w:rPr>
                <w:color w:val="auto"/>
                <w:lang w:val="en-AU"/>
              </w:rPr>
            </w:pPr>
            <w:proofErr w:type="spellStart"/>
            <w:r w:rsidRPr="0027216C">
              <w:rPr>
                <w:color w:val="auto"/>
                <w:lang w:val="en-AU"/>
              </w:rPr>
              <w:t>Wundbeurteilung</w:t>
            </w:r>
            <w:proofErr w:type="spellEnd"/>
          </w:p>
        </w:tc>
        <w:tc>
          <w:tcPr>
            <w:tcW w:w="3850" w:type="pct"/>
          </w:tcPr>
          <w:p w14:paraId="4A4BCA61" w14:textId="6E36B81B" w:rsidR="005416F4" w:rsidRPr="0027216C" w:rsidRDefault="005416F4" w:rsidP="005416F4">
            <w:pPr>
              <w:pStyle w:val="Glossar"/>
              <w:spacing w:before="20" w:line="200" w:lineRule="exact"/>
              <w:rPr>
                <w:color w:val="auto"/>
                <w:lang w:val="de-DE"/>
              </w:rPr>
            </w:pPr>
            <w:r w:rsidRPr="0027216C">
              <w:rPr>
                <w:color w:val="auto"/>
                <w:lang w:val="de-DE"/>
              </w:rPr>
              <w:t xml:space="preserve">Die Wundbeurteilung ist die strukturierte Erfassung von relevanten Kriterien, die den </w:t>
            </w:r>
            <w:r w:rsidR="00434AF5">
              <w:rPr>
                <w:color w:val="auto"/>
                <w:lang w:val="de-DE"/>
              </w:rPr>
              <w:br/>
            </w:r>
            <w:r w:rsidRPr="0027216C">
              <w:rPr>
                <w:color w:val="auto"/>
                <w:lang w:val="de-DE"/>
              </w:rPr>
              <w:t>Ist</w:t>
            </w:r>
            <w:r w:rsidR="00434AF5">
              <w:rPr>
                <w:color w:val="auto"/>
                <w:lang w:val="de-DE"/>
              </w:rPr>
              <w:t>z</w:t>
            </w:r>
            <w:r w:rsidRPr="0027216C">
              <w:rPr>
                <w:color w:val="auto"/>
                <w:lang w:val="de-DE"/>
              </w:rPr>
              <w:t xml:space="preserve">ustand einer Wunde und des angrenzenden Gewebes beschreiben und in ihrer </w:t>
            </w:r>
            <w:r w:rsidR="0006410A">
              <w:rPr>
                <w:color w:val="auto"/>
                <w:lang w:val="de-DE"/>
              </w:rPr>
              <w:br/>
            </w:r>
            <w:r w:rsidRPr="0027216C">
              <w:rPr>
                <w:color w:val="auto"/>
                <w:lang w:val="de-DE"/>
              </w:rPr>
              <w:t>Gesamtheit die Beurteilung von Risiken für die Wundheilung ermöglichen (AWMF 2023, S. 62).</w:t>
            </w:r>
          </w:p>
        </w:tc>
      </w:tr>
      <w:tr w:rsidR="005416F4" w:rsidRPr="0027216C" w14:paraId="048AC063" w14:textId="77777777" w:rsidTr="00AE5135">
        <w:tc>
          <w:tcPr>
            <w:tcW w:w="1150" w:type="pct"/>
          </w:tcPr>
          <w:p w14:paraId="06BF8644" w14:textId="77777777" w:rsidR="005416F4" w:rsidRPr="0027216C" w:rsidRDefault="005416F4" w:rsidP="005416F4">
            <w:pPr>
              <w:pStyle w:val="Glossar"/>
              <w:keepNext w:val="0"/>
              <w:keepLines w:val="0"/>
              <w:widowControl w:val="0"/>
              <w:spacing w:before="20" w:line="200" w:lineRule="exact"/>
              <w:rPr>
                <w:color w:val="auto"/>
                <w:lang w:val="en-AU"/>
              </w:rPr>
            </w:pPr>
            <w:proofErr w:type="spellStart"/>
            <w:r w:rsidRPr="0027216C">
              <w:rPr>
                <w:color w:val="auto"/>
                <w:lang w:val="en-AU"/>
              </w:rPr>
              <w:t>Wundmanagement</w:t>
            </w:r>
            <w:proofErr w:type="spellEnd"/>
          </w:p>
        </w:tc>
        <w:tc>
          <w:tcPr>
            <w:tcW w:w="3850" w:type="pct"/>
          </w:tcPr>
          <w:p w14:paraId="7C8E922D" w14:textId="57A4CE08" w:rsidR="005416F4" w:rsidRPr="009358B1" w:rsidRDefault="005416F4" w:rsidP="005416F4">
            <w:pPr>
              <w:pStyle w:val="Glossar"/>
              <w:spacing w:before="20" w:line="200" w:lineRule="exact"/>
              <w:rPr>
                <w:color w:val="auto"/>
                <w:lang w:val="de-DE"/>
              </w:rPr>
            </w:pPr>
            <w:r w:rsidRPr="0027216C">
              <w:rPr>
                <w:color w:val="auto"/>
                <w:lang w:val="de-DE"/>
              </w:rPr>
              <w:t xml:space="preserve">Das Wundmanagement umfasst alle übertragenen medizinischen und originär pflegerischen Maßnahmen und Interventionen, die dazu dienen, die Entstehung einer chronischen Wunde zu verhindern, eine Wunde zu erkennen, den Wundheilungsprozess zu </w:t>
            </w:r>
            <w:r w:rsidR="00DA2FE2">
              <w:rPr>
                <w:color w:val="auto"/>
                <w:lang w:val="de-DE"/>
              </w:rPr>
              <w:br/>
            </w:r>
            <w:r w:rsidRPr="0027216C">
              <w:rPr>
                <w:color w:val="auto"/>
                <w:lang w:val="de-DE"/>
              </w:rPr>
              <w:t xml:space="preserve">beschleunigen, Rezidive zu vermeiden und die Lebensqualität sowie </w:t>
            </w:r>
            <w:r w:rsidR="00DA2FE2">
              <w:rPr>
                <w:color w:val="auto"/>
                <w:lang w:val="de-DE"/>
              </w:rPr>
              <w:t xml:space="preserve">die </w:t>
            </w:r>
            <w:r w:rsidRPr="0027216C">
              <w:rPr>
                <w:color w:val="auto"/>
                <w:lang w:val="de-DE"/>
              </w:rPr>
              <w:t xml:space="preserve">Selbst- und </w:t>
            </w:r>
            <w:r w:rsidR="00DA2FE2">
              <w:rPr>
                <w:color w:val="auto"/>
                <w:lang w:val="de-DE"/>
              </w:rPr>
              <w:br/>
            </w:r>
            <w:r w:rsidRPr="0027216C">
              <w:rPr>
                <w:color w:val="auto"/>
                <w:lang w:val="de-DE"/>
              </w:rPr>
              <w:t>Gesundheitskompetenz der</w:t>
            </w:r>
            <w:r w:rsidR="00DA2FE2">
              <w:rPr>
                <w:color w:val="auto"/>
                <w:lang w:val="de-DE"/>
              </w:rPr>
              <w:t xml:space="preserve"> Patientinnen und</w:t>
            </w:r>
            <w:r w:rsidRPr="0027216C">
              <w:rPr>
                <w:color w:val="auto"/>
                <w:lang w:val="de-DE"/>
              </w:rPr>
              <w:t xml:space="preserve"> Patienten zu erhöhen. </w:t>
            </w:r>
            <w:r w:rsidR="00DA2FE2" w:rsidRPr="009358B1">
              <w:rPr>
                <w:color w:val="auto"/>
                <w:lang w:val="de-DE"/>
              </w:rPr>
              <w:t>(§</w:t>
            </w:r>
            <w:r w:rsidR="00DA2FE2">
              <w:rPr>
                <w:color w:val="auto"/>
                <w:lang w:val="de-DE"/>
              </w:rPr>
              <w:t> </w:t>
            </w:r>
            <w:r w:rsidRPr="009358B1">
              <w:rPr>
                <w:color w:val="auto"/>
                <w:lang w:val="de-DE"/>
              </w:rPr>
              <w:t xml:space="preserve">22a </w:t>
            </w:r>
            <w:r w:rsidR="00DA2FE2" w:rsidRPr="009358B1">
              <w:rPr>
                <w:color w:val="auto"/>
                <w:lang w:val="de-DE"/>
              </w:rPr>
              <w:t>Z</w:t>
            </w:r>
            <w:r w:rsidR="00DA2FE2">
              <w:rPr>
                <w:color w:val="auto"/>
                <w:lang w:val="de-DE"/>
              </w:rPr>
              <w:t> </w:t>
            </w:r>
            <w:r w:rsidRPr="009358B1">
              <w:rPr>
                <w:color w:val="auto"/>
                <w:lang w:val="de-DE"/>
              </w:rPr>
              <w:t>1 GuKG)</w:t>
            </w:r>
          </w:p>
        </w:tc>
      </w:tr>
      <w:tr w:rsidR="005416F4" w:rsidRPr="0027216C" w14:paraId="36D6FC09" w14:textId="77777777" w:rsidTr="00AE5135">
        <w:tc>
          <w:tcPr>
            <w:tcW w:w="1150" w:type="pct"/>
          </w:tcPr>
          <w:p w14:paraId="5A034924" w14:textId="77777777" w:rsidR="005416F4" w:rsidRPr="0027216C" w:rsidRDefault="005416F4" w:rsidP="005416F4">
            <w:pPr>
              <w:pStyle w:val="Glossar"/>
              <w:keepNext w:val="0"/>
              <w:keepLines w:val="0"/>
              <w:widowControl w:val="0"/>
              <w:spacing w:before="20" w:line="200" w:lineRule="exact"/>
              <w:rPr>
                <w:b/>
                <w:lang w:val="en-AU"/>
              </w:rPr>
            </w:pPr>
            <w:proofErr w:type="spellStart"/>
            <w:r w:rsidRPr="0027216C">
              <w:rPr>
                <w:lang w:val="en-AU"/>
              </w:rPr>
              <w:t>Wundmonitoring</w:t>
            </w:r>
            <w:proofErr w:type="spellEnd"/>
          </w:p>
        </w:tc>
        <w:tc>
          <w:tcPr>
            <w:tcW w:w="3850" w:type="pct"/>
          </w:tcPr>
          <w:p w14:paraId="4B19C63D" w14:textId="77777777" w:rsidR="005416F4" w:rsidRPr="0027216C" w:rsidRDefault="005416F4" w:rsidP="005416F4">
            <w:pPr>
              <w:pStyle w:val="Glossar"/>
              <w:spacing w:before="20" w:line="200" w:lineRule="exact"/>
              <w:rPr>
                <w:lang w:val="de-DE"/>
              </w:rPr>
            </w:pPr>
            <w:r w:rsidRPr="0027216C">
              <w:rPr>
                <w:lang w:val="de-DE"/>
              </w:rPr>
              <w:t>Das (Wund-)Monitoring ist die Überwachung der Wundheilung auf Veränderungen und unerwünschte lokale oder systemische Wirkungen und Ereignisse während der Durchführung einer Therapie (AWMF 2023, S. 199).</w:t>
            </w:r>
          </w:p>
        </w:tc>
      </w:tr>
      <w:tr w:rsidR="005416F4" w:rsidRPr="0027216C" w14:paraId="351BE729" w14:textId="77777777" w:rsidTr="00AE5135">
        <w:tc>
          <w:tcPr>
            <w:tcW w:w="1150" w:type="pct"/>
          </w:tcPr>
          <w:p w14:paraId="05B37BFB" w14:textId="08D7A5DA" w:rsidR="005416F4" w:rsidRPr="0027216C" w:rsidRDefault="005416F4" w:rsidP="005416F4">
            <w:pPr>
              <w:pStyle w:val="Glossar"/>
              <w:keepNext w:val="0"/>
              <w:keepLines w:val="0"/>
              <w:widowControl w:val="0"/>
              <w:spacing w:before="20" w:line="200" w:lineRule="exact"/>
              <w:rPr>
                <w:lang w:val="en-AU"/>
              </w:rPr>
            </w:pPr>
            <w:proofErr w:type="spellStart"/>
            <w:r w:rsidRPr="0027216C">
              <w:rPr>
                <w:lang w:val="en-AU"/>
              </w:rPr>
              <w:t>Wundzentrum</w:t>
            </w:r>
            <w:proofErr w:type="spellEnd"/>
          </w:p>
        </w:tc>
        <w:tc>
          <w:tcPr>
            <w:tcW w:w="3850" w:type="pct"/>
          </w:tcPr>
          <w:p w14:paraId="51A8002F" w14:textId="51EC00E7" w:rsidR="005416F4" w:rsidRPr="0027216C" w:rsidRDefault="000C3511" w:rsidP="005416F4">
            <w:pPr>
              <w:pStyle w:val="Glossar"/>
              <w:spacing w:before="20" w:line="200" w:lineRule="exact"/>
              <w:rPr>
                <w:lang w:val="de-DE"/>
              </w:rPr>
            </w:pPr>
            <w:r>
              <w:rPr>
                <w:lang w:val="de-DE"/>
              </w:rPr>
              <w:t>m</w:t>
            </w:r>
            <w:r w:rsidRPr="0027216C">
              <w:rPr>
                <w:lang w:val="de-DE"/>
              </w:rPr>
              <w:t xml:space="preserve">ultidisziplinär </w:t>
            </w:r>
            <w:r w:rsidR="005416F4" w:rsidRPr="0027216C">
              <w:rPr>
                <w:lang w:val="de-DE"/>
              </w:rPr>
              <w:t>organisierte Versorgungsstruktur, bestehend aus verschiedenen, speziell in der Wundversorgung qualifizierten Fachpersonen, die im Rahmen der Versorgung von Patientinnen und Patienten mit chronischen Wunden diagnostische und therapeutische Maßnahmen einleiten bzw. durchführen sowie eine beratende, koordinierende und begleitende Funktion gegenüber den Patientinnen und Patienten bzw. deren gesetzliche</w:t>
            </w:r>
            <w:r>
              <w:rPr>
                <w:lang w:val="de-DE"/>
              </w:rPr>
              <w:t>n</w:t>
            </w:r>
            <w:r w:rsidR="005416F4" w:rsidRPr="0027216C">
              <w:rPr>
                <w:lang w:val="de-DE"/>
              </w:rPr>
              <w:t xml:space="preserve"> Vertretungen, deren pflegende</w:t>
            </w:r>
            <w:r>
              <w:rPr>
                <w:lang w:val="de-DE"/>
              </w:rPr>
              <w:t>n</w:t>
            </w:r>
            <w:r w:rsidR="005416F4" w:rsidRPr="0027216C">
              <w:rPr>
                <w:lang w:val="de-DE"/>
              </w:rPr>
              <w:t xml:space="preserve"> An- und Zugehörigen </w:t>
            </w:r>
            <w:r>
              <w:rPr>
                <w:lang w:val="de-DE"/>
              </w:rPr>
              <w:t>sowie</w:t>
            </w:r>
            <w:r w:rsidRPr="0027216C">
              <w:rPr>
                <w:lang w:val="de-DE"/>
              </w:rPr>
              <w:t xml:space="preserve"> </w:t>
            </w:r>
            <w:r w:rsidR="005416F4" w:rsidRPr="0027216C">
              <w:rPr>
                <w:lang w:val="de-DE"/>
              </w:rPr>
              <w:t xml:space="preserve">den zuweisenden Ärztinnen und Ärzten einnehmen. Wundzentren sind gekennzeichnet durch den Einsatz von wundspezifisch ausgebildetem Fachpersonal, ein standardisiertes, leitlinienkonformes Vorgehen in Diagnostik, Therapie, Dokumentation und Qualitätssicherung sowie </w:t>
            </w:r>
            <w:r w:rsidR="00E709AF">
              <w:rPr>
                <w:lang w:val="de-DE"/>
              </w:rPr>
              <w:t xml:space="preserve">eine </w:t>
            </w:r>
            <w:r w:rsidR="005416F4" w:rsidRPr="0027216C">
              <w:rPr>
                <w:lang w:val="de-DE"/>
              </w:rPr>
              <w:t xml:space="preserve">interprofessionelle Zusammenarbeit. Das Kernteam umfasst Ärztinnen und Ärzte </w:t>
            </w:r>
            <w:r w:rsidR="00E709AF">
              <w:rPr>
                <w:lang w:val="de-DE"/>
              </w:rPr>
              <w:t>sowie</w:t>
            </w:r>
            <w:r w:rsidR="00E709AF" w:rsidRPr="0027216C">
              <w:rPr>
                <w:lang w:val="de-DE"/>
              </w:rPr>
              <w:t xml:space="preserve"> </w:t>
            </w:r>
            <w:r w:rsidR="005416F4" w:rsidRPr="0027216C">
              <w:rPr>
                <w:lang w:val="de-DE"/>
              </w:rPr>
              <w:t>Pflegepersonal mit Wundmanagement</w:t>
            </w:r>
            <w:r w:rsidR="00E709AF">
              <w:rPr>
                <w:lang w:val="de-DE"/>
              </w:rPr>
              <w:t>e</w:t>
            </w:r>
            <w:r w:rsidR="005416F4" w:rsidRPr="0027216C">
              <w:rPr>
                <w:lang w:val="de-DE"/>
              </w:rPr>
              <w:t xml:space="preserve">xpertise. Weiters können folgende Berufsgruppen tätig sein: Physio- und Ergotherapeutinnen und -therapeuten, Podologinnen und Podologen, Diätologinnen und </w:t>
            </w:r>
            <w:proofErr w:type="spellStart"/>
            <w:r w:rsidR="005416F4" w:rsidRPr="0027216C">
              <w:rPr>
                <w:lang w:val="de-DE"/>
              </w:rPr>
              <w:t>Diätologen</w:t>
            </w:r>
            <w:proofErr w:type="spellEnd"/>
            <w:r w:rsidR="005416F4" w:rsidRPr="0027216C">
              <w:rPr>
                <w:lang w:val="de-DE"/>
              </w:rPr>
              <w:t xml:space="preserve">, </w:t>
            </w:r>
            <w:r w:rsidR="00E709AF">
              <w:rPr>
                <w:lang w:val="de-DE"/>
              </w:rPr>
              <w:t>K</w:t>
            </w:r>
            <w:r w:rsidR="005416F4" w:rsidRPr="0027216C">
              <w:rPr>
                <w:lang w:val="de-DE"/>
              </w:rPr>
              <w:t xml:space="preserve">linische Psychologinnen und Psychologen </w:t>
            </w:r>
            <w:r w:rsidR="00E709AF">
              <w:rPr>
                <w:lang w:val="de-DE"/>
              </w:rPr>
              <w:t>sowie</w:t>
            </w:r>
            <w:r w:rsidR="00E709AF" w:rsidRPr="0027216C">
              <w:rPr>
                <w:lang w:val="de-DE"/>
              </w:rPr>
              <w:t xml:space="preserve"> </w:t>
            </w:r>
            <w:proofErr w:type="spellStart"/>
            <w:proofErr w:type="gramStart"/>
            <w:r w:rsidR="005416F4" w:rsidRPr="0027216C">
              <w:rPr>
                <w:lang w:val="de-DE"/>
              </w:rPr>
              <w:t>Sozialarbeiter</w:t>
            </w:r>
            <w:r w:rsidR="00E709AF">
              <w:rPr>
                <w:lang w:val="de-DE"/>
              </w:rPr>
              <w:t>:</w:t>
            </w:r>
            <w:r w:rsidR="005416F4" w:rsidRPr="0027216C">
              <w:rPr>
                <w:lang w:val="de-DE"/>
              </w:rPr>
              <w:t>innen</w:t>
            </w:r>
            <w:proofErr w:type="spellEnd"/>
            <w:proofErr w:type="gramEnd"/>
            <w:r w:rsidR="005416F4" w:rsidRPr="0027216C">
              <w:rPr>
                <w:lang w:val="de-DE"/>
              </w:rPr>
              <w:t>. Die Organisationsform kann standortübergreifend aufgebaut sein und sowohl niedergelassene Ordinationen</w:t>
            </w:r>
            <w:r w:rsidR="00E709AF">
              <w:rPr>
                <w:lang w:val="de-DE"/>
              </w:rPr>
              <w:t xml:space="preserve"> und</w:t>
            </w:r>
            <w:r w:rsidR="005416F4" w:rsidRPr="00634C62">
              <w:rPr>
                <w:lang w:val="de-DE"/>
              </w:rPr>
              <w:t xml:space="preserve"> mobile Strukturen als auch dislozierte Ambulanzen (gem. </w:t>
            </w:r>
            <w:r w:rsidR="00E709AF" w:rsidRPr="00634C62">
              <w:rPr>
                <w:lang w:val="de-DE"/>
              </w:rPr>
              <w:t>§</w:t>
            </w:r>
            <w:r w:rsidR="00E709AF">
              <w:rPr>
                <w:lang w:val="de-DE"/>
              </w:rPr>
              <w:t> </w:t>
            </w:r>
            <w:r w:rsidR="005416F4" w:rsidRPr="00634C62">
              <w:rPr>
                <w:lang w:val="de-DE"/>
              </w:rPr>
              <w:t xml:space="preserve">6 </w:t>
            </w:r>
            <w:proofErr w:type="spellStart"/>
            <w:r w:rsidR="005416F4" w:rsidRPr="00634C62">
              <w:rPr>
                <w:lang w:val="de-DE"/>
              </w:rPr>
              <w:t>KAKuG</w:t>
            </w:r>
            <w:proofErr w:type="spellEnd"/>
            <w:r w:rsidR="005416F4" w:rsidRPr="00634C62">
              <w:rPr>
                <w:lang w:val="de-DE"/>
              </w:rPr>
              <w:t xml:space="preserve">) miteinschließen. (vgl. </w:t>
            </w:r>
            <w:proofErr w:type="spellStart"/>
            <w:r w:rsidR="005416F4" w:rsidRPr="00634C62">
              <w:rPr>
                <w:lang w:val="de-DE"/>
              </w:rPr>
              <w:t>SAfW</w:t>
            </w:r>
            <w:proofErr w:type="spellEnd"/>
            <w:r w:rsidR="005416F4" w:rsidRPr="00634C62">
              <w:rPr>
                <w:lang w:val="de-DE"/>
              </w:rPr>
              <w:t xml:space="preserve"> 2025, TÜV Austria 2008)</w:t>
            </w:r>
          </w:p>
        </w:tc>
      </w:tr>
    </w:tbl>
    <w:p w14:paraId="53AC5D7A" w14:textId="622CC8F5" w:rsidR="007E3FAA" w:rsidRPr="0027216C" w:rsidRDefault="00A42038" w:rsidP="00474B86">
      <w:pPr>
        <w:pStyle w:val="Beschriftung-Quelle"/>
      </w:pPr>
      <w:proofErr w:type="spellStart"/>
      <w:r w:rsidRPr="0027216C">
        <w:rPr>
          <w:lang w:val="en-AU"/>
        </w:rPr>
        <w:t>Darstellung</w:t>
      </w:r>
      <w:proofErr w:type="spellEnd"/>
      <w:r w:rsidRPr="0027216C">
        <w:rPr>
          <w:lang w:val="en-AU"/>
        </w:rPr>
        <w:t xml:space="preserve">: GÖG </w:t>
      </w:r>
      <w:r w:rsidR="001D334F">
        <w:rPr>
          <w:lang w:val="en-AU"/>
        </w:rPr>
        <w:t>(</w:t>
      </w:r>
      <w:r w:rsidRPr="0027216C">
        <w:rPr>
          <w:lang w:val="en-AU"/>
        </w:rPr>
        <w:t>202</w:t>
      </w:r>
      <w:r w:rsidR="00E8464C" w:rsidRPr="0027216C">
        <w:rPr>
          <w:lang w:val="en-AU"/>
        </w:rPr>
        <w:t>5</w:t>
      </w:r>
      <w:r w:rsidR="001D334F">
        <w:rPr>
          <w:lang w:val="en-AU"/>
        </w:rPr>
        <w:t>)</w:t>
      </w:r>
    </w:p>
    <w:p w14:paraId="168AE312" w14:textId="77777777" w:rsidR="007E3FAA" w:rsidRPr="0027216C" w:rsidRDefault="007E3FAA">
      <w:pPr>
        <w:pStyle w:val="Abkrzungsverzeichnis"/>
        <w:sectPr w:rsidR="007E3FAA" w:rsidRPr="0027216C" w:rsidSect="00474B86">
          <w:footerReference w:type="even" r:id="rId24"/>
          <w:footerReference w:type="default" r:id="rId25"/>
          <w:type w:val="continuous"/>
          <w:pgSz w:w="11907" w:h="16840" w:code="9"/>
          <w:pgMar w:top="1361" w:right="1758" w:bottom="2211" w:left="1758" w:header="709" w:footer="1021" w:gutter="0"/>
          <w:paperSrc w:first="3" w:other="3"/>
          <w:pgNumType w:fmt="upperRoman"/>
          <w:cols w:space="720"/>
          <w:formProt w:val="0"/>
        </w:sectPr>
      </w:pPr>
    </w:p>
    <w:p w14:paraId="6935E388" w14:textId="77777777" w:rsidR="007E3FAA" w:rsidRPr="0027216C" w:rsidRDefault="00A42038">
      <w:pPr>
        <w:pStyle w:val="berschrift1"/>
      </w:pPr>
      <w:bookmarkStart w:id="36" w:name="_Toc159827590"/>
      <w:bookmarkStart w:id="37" w:name="_Toc211342053"/>
      <w:bookmarkEnd w:id="8"/>
      <w:bookmarkEnd w:id="9"/>
      <w:bookmarkEnd w:id="10"/>
      <w:bookmarkEnd w:id="11"/>
      <w:bookmarkEnd w:id="12"/>
      <w:r w:rsidRPr="0027216C">
        <w:lastRenderedPageBreak/>
        <w:t>Ausgangslage und Hintergrund</w:t>
      </w:r>
      <w:bookmarkEnd w:id="36"/>
      <w:bookmarkEnd w:id="37"/>
    </w:p>
    <w:p w14:paraId="5366C8DF" w14:textId="70E02CC4" w:rsidR="007E3FAA" w:rsidRPr="0027216C" w:rsidRDefault="00A42038">
      <w:pPr>
        <w:pStyle w:val="Standard0"/>
      </w:pPr>
      <w:r w:rsidRPr="0027216C">
        <w:t xml:space="preserve">Die Erstellung des Qualitätsstandards Integrierte Versorgung </w:t>
      </w:r>
      <w:r w:rsidR="00411F41">
        <w:t>C</w:t>
      </w:r>
      <w:r w:rsidRPr="0027216C">
        <w:t xml:space="preserve">hronische Wunden (QS IV </w:t>
      </w:r>
      <w:r w:rsidR="00411F41">
        <w:t>C</w:t>
      </w:r>
      <w:r w:rsidR="00411F41" w:rsidRPr="0027216C">
        <w:t xml:space="preserve">hronische </w:t>
      </w:r>
      <w:r w:rsidRPr="0027216C">
        <w:t xml:space="preserve">Wunden) wurde von der </w:t>
      </w:r>
      <w:r w:rsidR="00FD4AF8">
        <w:t>Fachgruppe Versorgungsprozesse (</w:t>
      </w:r>
      <w:r w:rsidRPr="0027216C">
        <w:t>FG VP</w:t>
      </w:r>
      <w:r w:rsidR="00FD4AF8">
        <w:t>)</w:t>
      </w:r>
      <w:r w:rsidRPr="0027216C">
        <w:t xml:space="preserve"> in der Sitzung am 21. </w:t>
      </w:r>
      <w:r w:rsidR="00B857AC">
        <w:t>Oktober</w:t>
      </w:r>
      <w:r w:rsidRPr="0027216C">
        <w:t xml:space="preserve"> 2021 entsprechend den Vereinbarungen im Bundes‐Zielsteuerungsvertrag (2017–2021) beschlossen. Die Vorarbeiten (siehe Kurzübersicht (</w:t>
      </w:r>
      <w:hyperlink r:id="rId26" w:history="1">
        <w:r w:rsidRPr="0027216C">
          <w:rPr>
            <w:rStyle w:val="Hyperlink"/>
          </w:rPr>
          <w:t>https://jasmin.goeg.at/id/eprint/2391/</w:t>
        </w:r>
      </w:hyperlink>
      <w:r w:rsidRPr="0027216C">
        <w:t>) und Kernelemente für diesen QS (</w:t>
      </w:r>
      <w:hyperlink r:id="rId27" w:history="1">
        <w:r w:rsidRPr="0027216C">
          <w:rPr>
            <w:rStyle w:val="Hyperlink"/>
          </w:rPr>
          <w:t>https://jasmin.goeg.at/id/eprint/2390/</w:t>
        </w:r>
      </w:hyperlink>
      <w:r w:rsidRPr="0027216C">
        <w:t xml:space="preserve">)) sowie die Erstellung des vorliegenden QS erfolgten gemäß der </w:t>
      </w:r>
      <w:r w:rsidRPr="0027216C">
        <w:rPr>
          <w:i/>
          <w:iCs/>
        </w:rPr>
        <w:t xml:space="preserve">Methode zur Erstellung von Qualitätsstandards </w:t>
      </w:r>
      <w:r w:rsidRPr="0027216C">
        <w:t xml:space="preserve">(Methodenhandbuch, Version 2.0 </w:t>
      </w:r>
      <w:r w:rsidR="00B857AC">
        <w:rPr>
          <w:rFonts w:cs="Segoe UI"/>
        </w:rPr>
        <w:t>[</w:t>
      </w:r>
      <w:r w:rsidRPr="0027216C">
        <w:t>BMASGK 2019</w:t>
      </w:r>
      <w:r w:rsidR="00B857AC">
        <w:rPr>
          <w:rFonts w:cs="Segoe UI"/>
        </w:rPr>
        <w:t>]</w:t>
      </w:r>
      <w:r w:rsidRPr="0027216C">
        <w:t xml:space="preserve"> bzw. aktualisierte Version 3.0 </w:t>
      </w:r>
      <w:r w:rsidR="00B857AC">
        <w:rPr>
          <w:rFonts w:cs="Segoe UI"/>
        </w:rPr>
        <w:t>[</w:t>
      </w:r>
      <w:r w:rsidRPr="0027216C">
        <w:t>BMSGPK 2024</w:t>
      </w:r>
      <w:r w:rsidR="0046202F" w:rsidRPr="0027216C">
        <w:t>a</w:t>
      </w:r>
      <w:r w:rsidR="00B857AC">
        <w:rPr>
          <w:rFonts w:cs="Segoe UI"/>
        </w:rPr>
        <w:t>]</w:t>
      </w:r>
      <w:r w:rsidRPr="0027216C">
        <w:t>).</w:t>
      </w:r>
    </w:p>
    <w:p w14:paraId="29350581" w14:textId="3F590FA4" w:rsidR="007E3FAA" w:rsidRPr="0027216C" w:rsidRDefault="00A42038">
      <w:pPr>
        <w:rPr>
          <w:lang w:val="de-DE"/>
        </w:rPr>
      </w:pPr>
      <w:r w:rsidRPr="0027216C">
        <w:rPr>
          <w:lang w:val="de-DE"/>
        </w:rPr>
        <w:t xml:space="preserve">Als </w:t>
      </w:r>
      <w:r w:rsidR="0046202F" w:rsidRPr="00CB33C4">
        <w:rPr>
          <w:rFonts w:ascii="Segoe UI Semibold" w:hAnsi="Segoe UI Semibold" w:cs="Segoe UI Semibold"/>
          <w:lang w:val="de-DE"/>
        </w:rPr>
        <w:t>i</w:t>
      </w:r>
      <w:r w:rsidRPr="00CB33C4">
        <w:rPr>
          <w:rFonts w:ascii="Segoe UI Semibold" w:hAnsi="Segoe UI Semibold" w:cs="Segoe UI Semibold"/>
          <w:lang w:val="de-DE"/>
        </w:rPr>
        <w:t>ntegrierte Versorgung</w:t>
      </w:r>
      <w:r w:rsidRPr="0027216C">
        <w:rPr>
          <w:lang w:val="de-DE"/>
        </w:rPr>
        <w:t xml:space="preserve"> (IV) wird eine patientenorientierte, kontinuierliche, sektorenübergreifende und/oder interdisziplinäre/multiprofessionelle und nach standardisierten Behandlungskonzepten (Leitlinien, Behandlungspfade etc.) ausgerichtete Versorgung verstanden. IV umfasst Prozess- und Organisationsintegration (ÖSG 2023).</w:t>
      </w:r>
    </w:p>
    <w:p w14:paraId="1153FA55" w14:textId="3F3E3E62" w:rsidR="0005446C" w:rsidRPr="0027216C" w:rsidRDefault="0046202F">
      <w:r w:rsidRPr="0027216C">
        <w:rPr>
          <w:lang w:val="de-DE"/>
        </w:rPr>
        <w:t xml:space="preserve">Ein Leitbegriff für das kollaborative Zusammenwirken der beteiligten GDA ist die </w:t>
      </w:r>
      <w:r w:rsidRPr="00EF28B9">
        <w:rPr>
          <w:rFonts w:ascii="Segoe UI Semibold" w:hAnsi="Segoe UI Semibold" w:cs="Segoe UI Semibold"/>
          <w:lang w:val="de-DE"/>
        </w:rPr>
        <w:t xml:space="preserve">interprofessionelle Zusammenarbeit </w:t>
      </w:r>
      <w:r w:rsidRPr="0027216C">
        <w:rPr>
          <w:lang w:val="de-DE"/>
        </w:rPr>
        <w:t xml:space="preserve">(BMSGPK 2024b). </w:t>
      </w:r>
      <w:r w:rsidR="0005446C" w:rsidRPr="0027216C">
        <w:t xml:space="preserve">Interprofessionelle Zusammenarbeit findet statt, wenn zwei oder mehr Personen </w:t>
      </w:r>
      <w:proofErr w:type="gramStart"/>
      <w:r w:rsidR="0005446C" w:rsidRPr="0027216C">
        <w:t>mit unterschiedlichem berufliche</w:t>
      </w:r>
      <w:r w:rsidR="00EF02AC">
        <w:t>n</w:t>
      </w:r>
      <w:r w:rsidR="0005446C" w:rsidRPr="0027216C">
        <w:t xml:space="preserve"> Hintergrund</w:t>
      </w:r>
      <w:proofErr w:type="gramEnd"/>
      <w:r w:rsidR="0005446C" w:rsidRPr="0027216C">
        <w:t xml:space="preserve"> und sich ergänzenden Fähigkeiten zusammenarbeiten, um ein gemeinsames Verständnis zu schaffen, zu dem keine von ihnen zuvor in der Lage war oder </w:t>
      </w:r>
      <w:r w:rsidR="00AE5135" w:rsidRPr="0027216C">
        <w:t>dass</w:t>
      </w:r>
      <w:r w:rsidR="0005446C" w:rsidRPr="0027216C">
        <w:t xml:space="preserve"> sie allein hätten erreichen können (BMSGPK 2024</w:t>
      </w:r>
      <w:r w:rsidR="0029284A" w:rsidRPr="0027216C">
        <w:t>b</w:t>
      </w:r>
      <w:r w:rsidR="0005446C" w:rsidRPr="0027216C">
        <w:t>, übersetzt nach WHO 2010).</w:t>
      </w:r>
      <w:r w:rsidR="00944DD1" w:rsidRPr="0027216C">
        <w:t xml:space="preserve"> Diese Ausrichtung soll beginnend von den Rechtsgrund-lagen aller Gesundheitsberufe über die Organisationen bis zur täglichen Praxis </w:t>
      </w:r>
      <w:proofErr w:type="gramStart"/>
      <w:r w:rsidR="00944DD1" w:rsidRPr="0027216C">
        <w:t>hin</w:t>
      </w:r>
      <w:r w:rsidR="00EF02AC">
        <w:t xml:space="preserve"> </w:t>
      </w:r>
      <w:r w:rsidR="00944DD1" w:rsidRPr="0027216C">
        <w:t>wirken</w:t>
      </w:r>
      <w:proofErr w:type="gramEnd"/>
      <w:r w:rsidR="00944DD1" w:rsidRPr="0027216C">
        <w:t>.</w:t>
      </w:r>
    </w:p>
    <w:p w14:paraId="67AC7ABA" w14:textId="38819355" w:rsidR="0046202F" w:rsidRPr="0027216C" w:rsidRDefault="0046202F" w:rsidP="0046202F">
      <w:pPr>
        <w:rPr>
          <w:lang w:val="de-DE"/>
        </w:rPr>
      </w:pPr>
      <w:r w:rsidRPr="0027216C">
        <w:rPr>
          <w:lang w:val="de-DE"/>
        </w:rPr>
        <w:t>Interprofessionelle Zusammenarbeit bedarf spezifischer Kompetenzen, die über die berufsspezifischen Kompetenzen hinausgehen. Diese spezifischen Kompetenzen betreffen alle Gesundheitsberufe gleichermaßen und umfassen vier Kompetenzbereiche</w:t>
      </w:r>
      <w:r w:rsidR="00F6651D" w:rsidRPr="0027216C">
        <w:rPr>
          <w:lang w:val="de-DE"/>
        </w:rPr>
        <w:t xml:space="preserve"> (BMSGPK 2024b)</w:t>
      </w:r>
      <w:r w:rsidRPr="0027216C">
        <w:rPr>
          <w:lang w:val="de-DE"/>
        </w:rPr>
        <w:t xml:space="preserve">: </w:t>
      </w:r>
    </w:p>
    <w:p w14:paraId="5EED25B5" w14:textId="5644C633" w:rsidR="0046202F" w:rsidRPr="0027216C" w:rsidRDefault="0046202F" w:rsidP="00157E43">
      <w:pPr>
        <w:pStyle w:val="Liste1"/>
        <w:rPr>
          <w:lang w:val="de-DE"/>
        </w:rPr>
      </w:pPr>
      <w:r w:rsidRPr="0027216C">
        <w:rPr>
          <w:i/>
          <w:iCs/>
          <w:lang w:val="de-DE"/>
        </w:rPr>
        <w:t xml:space="preserve">Werte und Moral: </w:t>
      </w:r>
      <w:r w:rsidRPr="0027216C">
        <w:rPr>
          <w:lang w:val="de-DE"/>
        </w:rPr>
        <w:t xml:space="preserve">gemeinsam im Team arbeiten, um ein Umfeld von gemeinsamen Werten, Ethik und Respekt zu fördern </w:t>
      </w:r>
    </w:p>
    <w:p w14:paraId="4ACC7F6C" w14:textId="45B186EE" w:rsidR="0046202F" w:rsidRPr="0027216C" w:rsidRDefault="0046202F" w:rsidP="00157E43">
      <w:pPr>
        <w:pStyle w:val="Liste1"/>
        <w:rPr>
          <w:lang w:val="de-DE"/>
        </w:rPr>
      </w:pPr>
      <w:r w:rsidRPr="0027216C">
        <w:rPr>
          <w:i/>
          <w:iCs/>
          <w:lang w:val="de-DE"/>
        </w:rPr>
        <w:t xml:space="preserve">Rollen und Verantwortung: </w:t>
      </w:r>
      <w:r w:rsidRPr="0027216C">
        <w:rPr>
          <w:lang w:val="de-DE"/>
        </w:rPr>
        <w:t xml:space="preserve">das Wissen über die eigene Rolle und die Fachkenntnisse der Teammitglieder nutzen, um die individuelle und bevölkerungsbezogene Gesundheit zu </w:t>
      </w:r>
      <w:r w:rsidR="008C04F3">
        <w:rPr>
          <w:lang w:val="de-DE"/>
        </w:rPr>
        <w:br/>
      </w:r>
      <w:r w:rsidRPr="0027216C">
        <w:rPr>
          <w:lang w:val="de-DE"/>
        </w:rPr>
        <w:t xml:space="preserve">verbessern </w:t>
      </w:r>
    </w:p>
    <w:p w14:paraId="224136F1" w14:textId="057B2D52" w:rsidR="0046202F" w:rsidRPr="0027216C" w:rsidRDefault="0046202F" w:rsidP="00157E43">
      <w:pPr>
        <w:pStyle w:val="Liste1"/>
        <w:rPr>
          <w:lang w:val="de-DE"/>
        </w:rPr>
      </w:pPr>
      <w:r w:rsidRPr="0027216C">
        <w:rPr>
          <w:i/>
          <w:iCs/>
          <w:lang w:val="de-DE"/>
        </w:rPr>
        <w:t xml:space="preserve">Kommunikation: </w:t>
      </w:r>
      <w:r w:rsidRPr="0027216C">
        <w:rPr>
          <w:lang w:val="de-DE"/>
        </w:rPr>
        <w:t>Kommunizieren mit Teammitgliedern auf eine reaktionsschnelle, verant</w:t>
      </w:r>
      <w:r w:rsidR="008C04F3">
        <w:rPr>
          <w:lang w:val="de-DE"/>
        </w:rPr>
        <w:softHyphen/>
      </w:r>
      <w:r w:rsidRPr="0027216C">
        <w:rPr>
          <w:lang w:val="de-DE"/>
        </w:rPr>
        <w:t xml:space="preserve">wortungsbewusste, respektvolle und mitfühlende Weise </w:t>
      </w:r>
    </w:p>
    <w:p w14:paraId="1D0B1CFF" w14:textId="2DF4D9BA" w:rsidR="0046202F" w:rsidRPr="0027216C" w:rsidRDefault="0046202F" w:rsidP="00157E43">
      <w:pPr>
        <w:pStyle w:val="Liste1"/>
        <w:rPr>
          <w:lang w:val="de-DE"/>
        </w:rPr>
      </w:pPr>
      <w:r w:rsidRPr="0027216C">
        <w:rPr>
          <w:i/>
          <w:iCs/>
          <w:lang w:val="de-DE"/>
        </w:rPr>
        <w:t xml:space="preserve">Teams und Teamarbeit: </w:t>
      </w:r>
      <w:r w:rsidRPr="0027216C">
        <w:rPr>
          <w:lang w:val="de-DE"/>
        </w:rPr>
        <w:t xml:space="preserve">die Prinzipien und Werte der Teamarbeit nutzen, um die eigene Rolle in unterschiedlichen Teamkonstellationen anzupassen </w:t>
      </w:r>
    </w:p>
    <w:p w14:paraId="7220EE51" w14:textId="49F394D9" w:rsidR="007E3FAA" w:rsidRPr="0027216C" w:rsidRDefault="00A42038">
      <w:pPr>
        <w:pStyle w:val="berschrift2"/>
      </w:pPr>
      <w:bookmarkStart w:id="38" w:name="_Toc159827591"/>
      <w:bookmarkStart w:id="39" w:name="_Toc211342054"/>
      <w:bookmarkStart w:id="40" w:name="_Toc10468104"/>
      <w:r w:rsidRPr="0027216C">
        <w:t>Betroffene Personengruppe</w:t>
      </w:r>
      <w:bookmarkEnd w:id="38"/>
      <w:bookmarkEnd w:id="39"/>
    </w:p>
    <w:p w14:paraId="74638C10" w14:textId="5F11EA40" w:rsidR="007E3FAA" w:rsidRPr="0027216C" w:rsidRDefault="00A42038">
      <w:pPr>
        <w:pStyle w:val="Standard0"/>
      </w:pPr>
      <w:r w:rsidRPr="0027216C">
        <w:t>Der vorliegende QS bezieht sich auf erwachsene Patient</w:t>
      </w:r>
      <w:r w:rsidR="00744742">
        <w:t>i</w:t>
      </w:r>
      <w:r w:rsidRPr="0027216C">
        <w:t xml:space="preserve">nnen </w:t>
      </w:r>
      <w:r w:rsidR="00744742">
        <w:t xml:space="preserve">und Patienten </w:t>
      </w:r>
      <w:r w:rsidRPr="0027216C">
        <w:t>mit chronischen Wunden.</w:t>
      </w:r>
    </w:p>
    <w:p w14:paraId="2A013EB8" w14:textId="77777777" w:rsidR="007E3FAA" w:rsidRPr="0027216C" w:rsidRDefault="00A42038">
      <w:pPr>
        <w:pStyle w:val="berschrift3"/>
      </w:pPr>
      <w:r w:rsidRPr="0027216C">
        <w:t>Definition chronische Wunde</w:t>
      </w:r>
    </w:p>
    <w:p w14:paraId="4D08BAF1" w14:textId="68953A23" w:rsidR="00B7642D" w:rsidRPr="0027216C" w:rsidRDefault="00A42038" w:rsidP="00B7642D">
      <w:pPr>
        <w:pStyle w:val="Standard0"/>
      </w:pPr>
      <w:r w:rsidRPr="0027216C">
        <w:t>Sowohl in der internationalen Fachliteratur als auch in einschlägigen Dokumenten mit Bezug zu Österreich wird der Begriff chronische Wunde nicht einheitlich definiert.</w:t>
      </w:r>
    </w:p>
    <w:p w14:paraId="1CEBAACB" w14:textId="1612C17B" w:rsidR="00B6797F" w:rsidRPr="0027216C" w:rsidRDefault="00A42038" w:rsidP="00AE5135">
      <w:r w:rsidRPr="0027216C">
        <w:lastRenderedPageBreak/>
        <w:t xml:space="preserve">Exemplarisch verweist die European </w:t>
      </w:r>
      <w:proofErr w:type="spellStart"/>
      <w:r w:rsidRPr="0027216C">
        <w:t>Wound</w:t>
      </w:r>
      <w:proofErr w:type="spellEnd"/>
      <w:r w:rsidRPr="0027216C">
        <w:t xml:space="preserve"> Management </w:t>
      </w:r>
      <w:proofErr w:type="spellStart"/>
      <w:r w:rsidRPr="0027216C">
        <w:t>Association</w:t>
      </w:r>
      <w:proofErr w:type="spellEnd"/>
      <w:r w:rsidR="001B5243" w:rsidRPr="0027216C">
        <w:t xml:space="preserve">, </w:t>
      </w:r>
      <w:r w:rsidRPr="0027216C">
        <w:t xml:space="preserve">eine europäische Dachorganisation für nationale Wundmanagementorganisationen, auf eine vergleichsweise allgemeine Begriffsklärung: </w:t>
      </w:r>
      <w:proofErr w:type="spellStart"/>
      <w:r w:rsidRPr="0027216C">
        <w:rPr>
          <w:i/>
          <w:iCs/>
        </w:rPr>
        <w:t>Chronic</w:t>
      </w:r>
      <w:proofErr w:type="spellEnd"/>
      <w:r w:rsidRPr="0027216C">
        <w:rPr>
          <w:i/>
          <w:iCs/>
        </w:rPr>
        <w:t xml:space="preserve"> </w:t>
      </w:r>
      <w:proofErr w:type="spellStart"/>
      <w:r w:rsidRPr="0027216C">
        <w:rPr>
          <w:i/>
          <w:iCs/>
        </w:rPr>
        <w:t>wounds</w:t>
      </w:r>
      <w:proofErr w:type="spellEnd"/>
      <w:r w:rsidRPr="0027216C">
        <w:rPr>
          <w:i/>
          <w:iCs/>
        </w:rPr>
        <w:t xml:space="preserve"> </w:t>
      </w:r>
      <w:proofErr w:type="spellStart"/>
      <w:r w:rsidRPr="0027216C">
        <w:rPr>
          <w:i/>
          <w:iCs/>
        </w:rPr>
        <w:t>are</w:t>
      </w:r>
      <w:proofErr w:type="spellEnd"/>
      <w:r w:rsidRPr="0027216C">
        <w:rPr>
          <w:i/>
          <w:iCs/>
        </w:rPr>
        <w:t xml:space="preserve"> </w:t>
      </w:r>
      <w:proofErr w:type="spellStart"/>
      <w:r w:rsidRPr="0027216C">
        <w:rPr>
          <w:i/>
          <w:iCs/>
        </w:rPr>
        <w:t>defined</w:t>
      </w:r>
      <w:proofErr w:type="spellEnd"/>
      <w:r w:rsidRPr="0027216C">
        <w:rPr>
          <w:i/>
          <w:iCs/>
        </w:rPr>
        <w:t xml:space="preserve"> </w:t>
      </w:r>
      <w:proofErr w:type="spellStart"/>
      <w:r w:rsidRPr="0027216C">
        <w:rPr>
          <w:i/>
          <w:iCs/>
        </w:rPr>
        <w:t>as</w:t>
      </w:r>
      <w:proofErr w:type="spellEnd"/>
      <w:r w:rsidRPr="0027216C">
        <w:rPr>
          <w:i/>
          <w:iCs/>
        </w:rPr>
        <w:t xml:space="preserve"> </w:t>
      </w:r>
      <w:proofErr w:type="spellStart"/>
      <w:r w:rsidRPr="0027216C">
        <w:rPr>
          <w:i/>
          <w:iCs/>
        </w:rPr>
        <w:t>wounds</w:t>
      </w:r>
      <w:proofErr w:type="spellEnd"/>
      <w:r w:rsidRPr="0027216C">
        <w:rPr>
          <w:i/>
          <w:iCs/>
        </w:rPr>
        <w:t xml:space="preserve"> </w:t>
      </w:r>
      <w:proofErr w:type="spellStart"/>
      <w:r w:rsidRPr="0027216C">
        <w:rPr>
          <w:i/>
          <w:iCs/>
        </w:rPr>
        <w:t>that</w:t>
      </w:r>
      <w:proofErr w:type="spellEnd"/>
      <w:r w:rsidRPr="0027216C">
        <w:rPr>
          <w:i/>
          <w:iCs/>
        </w:rPr>
        <w:t xml:space="preserve"> fail </w:t>
      </w:r>
      <w:proofErr w:type="spellStart"/>
      <w:r w:rsidRPr="0027216C">
        <w:rPr>
          <w:i/>
          <w:iCs/>
        </w:rPr>
        <w:t>to</w:t>
      </w:r>
      <w:proofErr w:type="spellEnd"/>
      <w:r w:rsidRPr="0027216C">
        <w:rPr>
          <w:i/>
          <w:iCs/>
        </w:rPr>
        <w:t xml:space="preserve"> </w:t>
      </w:r>
      <w:proofErr w:type="spellStart"/>
      <w:r w:rsidRPr="0027216C">
        <w:rPr>
          <w:i/>
          <w:iCs/>
        </w:rPr>
        <w:t>proceed</w:t>
      </w:r>
      <w:proofErr w:type="spellEnd"/>
      <w:r w:rsidRPr="0027216C">
        <w:rPr>
          <w:i/>
          <w:iCs/>
        </w:rPr>
        <w:t xml:space="preserve"> </w:t>
      </w:r>
      <w:proofErr w:type="spellStart"/>
      <w:r w:rsidRPr="0027216C">
        <w:rPr>
          <w:i/>
          <w:iCs/>
        </w:rPr>
        <w:t>through</w:t>
      </w:r>
      <w:proofErr w:type="spellEnd"/>
      <w:r w:rsidRPr="0027216C">
        <w:rPr>
          <w:i/>
          <w:iCs/>
        </w:rPr>
        <w:t xml:space="preserve"> </w:t>
      </w:r>
      <w:proofErr w:type="spellStart"/>
      <w:r w:rsidRPr="0027216C">
        <w:rPr>
          <w:i/>
          <w:iCs/>
        </w:rPr>
        <w:t>the</w:t>
      </w:r>
      <w:proofErr w:type="spellEnd"/>
      <w:r w:rsidRPr="0027216C">
        <w:rPr>
          <w:i/>
          <w:iCs/>
        </w:rPr>
        <w:t xml:space="preserve"> normal </w:t>
      </w:r>
      <w:proofErr w:type="spellStart"/>
      <w:r w:rsidRPr="0027216C">
        <w:rPr>
          <w:i/>
          <w:iCs/>
        </w:rPr>
        <w:t>phases</w:t>
      </w:r>
      <w:proofErr w:type="spellEnd"/>
      <w:r w:rsidRPr="0027216C">
        <w:rPr>
          <w:i/>
          <w:iCs/>
        </w:rPr>
        <w:t xml:space="preserve"> </w:t>
      </w:r>
      <w:proofErr w:type="spellStart"/>
      <w:r w:rsidRPr="0027216C">
        <w:rPr>
          <w:i/>
          <w:iCs/>
        </w:rPr>
        <w:t>of</w:t>
      </w:r>
      <w:proofErr w:type="spellEnd"/>
      <w:r w:rsidRPr="0027216C">
        <w:rPr>
          <w:i/>
          <w:iCs/>
        </w:rPr>
        <w:t xml:space="preserve"> </w:t>
      </w:r>
      <w:proofErr w:type="spellStart"/>
      <w:r w:rsidRPr="0027216C">
        <w:rPr>
          <w:i/>
          <w:iCs/>
        </w:rPr>
        <w:t>wound</w:t>
      </w:r>
      <w:proofErr w:type="spellEnd"/>
      <w:r w:rsidRPr="0027216C">
        <w:rPr>
          <w:i/>
          <w:iCs/>
        </w:rPr>
        <w:t xml:space="preserve"> </w:t>
      </w:r>
      <w:proofErr w:type="spellStart"/>
      <w:r w:rsidRPr="0027216C">
        <w:rPr>
          <w:i/>
          <w:iCs/>
        </w:rPr>
        <w:t>healing</w:t>
      </w:r>
      <w:proofErr w:type="spellEnd"/>
      <w:r w:rsidRPr="0027216C">
        <w:rPr>
          <w:i/>
          <w:iCs/>
        </w:rPr>
        <w:t xml:space="preserve"> in an </w:t>
      </w:r>
      <w:proofErr w:type="spellStart"/>
      <w:r w:rsidRPr="0027216C">
        <w:rPr>
          <w:i/>
          <w:iCs/>
        </w:rPr>
        <w:t>orderly</w:t>
      </w:r>
      <w:proofErr w:type="spellEnd"/>
      <w:r w:rsidRPr="0027216C">
        <w:rPr>
          <w:i/>
          <w:iCs/>
        </w:rPr>
        <w:t xml:space="preserve"> and </w:t>
      </w:r>
      <w:proofErr w:type="spellStart"/>
      <w:r w:rsidRPr="0027216C">
        <w:rPr>
          <w:i/>
          <w:iCs/>
        </w:rPr>
        <w:t>timely</w:t>
      </w:r>
      <w:proofErr w:type="spellEnd"/>
      <w:r w:rsidRPr="0027216C">
        <w:rPr>
          <w:i/>
          <w:iCs/>
        </w:rPr>
        <w:t xml:space="preserve"> </w:t>
      </w:r>
      <w:proofErr w:type="spellStart"/>
      <w:r w:rsidRPr="0027216C">
        <w:rPr>
          <w:i/>
          <w:iCs/>
        </w:rPr>
        <w:t>manner</w:t>
      </w:r>
      <w:proofErr w:type="spellEnd"/>
      <w:r w:rsidRPr="0027216C">
        <w:t xml:space="preserve"> (</w:t>
      </w:r>
      <w:hyperlink r:id="rId28" w:history="1">
        <w:r w:rsidR="001B5243" w:rsidRPr="0027216C">
          <w:rPr>
            <w:rStyle w:val="Hyperlink"/>
            <w:color w:val="auto"/>
          </w:rPr>
          <w:t>https://ewma.org/</w:t>
        </w:r>
      </w:hyperlink>
      <w:r w:rsidRPr="0027216C">
        <w:t>)</w:t>
      </w:r>
      <w:r w:rsidR="001B5243" w:rsidRPr="0027216C">
        <w:t>.</w:t>
      </w:r>
      <w:r w:rsidRPr="0027216C">
        <w:fldChar w:fldCharType="begin"/>
      </w:r>
      <w:r w:rsidRPr="0027216C">
        <w:instrText xml:space="preserve"> ADDIN EN.CITE &lt;EndNote&gt;&lt;Cite ExcludeYear="1"&gt;&lt;Author&gt;Wound Source&lt;/Author&gt;&lt;Year&gt;2021&lt;/Year&gt;&lt;RecNum&gt;27&lt;/RecNum&gt;&lt;DisplayText&gt;(Wound Source)&lt;/DisplayText&gt;&lt;record&gt;&lt;rec-number&gt;27&lt;/rec-number&gt;&lt;foreign-keys&gt;&lt;key app="EN" db-id="rr2axwd5c5ezecewez9vz0zgxdspr9v2xpzw" timestamp="1660133581"&gt;27&lt;/key&gt;&lt;/foreign-keys&gt;&lt;ref-type name="Web Page"&gt;12&lt;/ref-type&gt;&lt;contributors&gt;&lt;authors&gt;&lt;author&gt;Wound Source,&lt;/author&gt;&lt;/authors&gt;&lt;/contributors&gt;&lt;titles&gt;&lt;title&gt;Chronic Wounds&lt;/title&gt;&lt;/titles&gt;&lt;number&gt;10.08.2022&lt;/number&gt;&lt;dates&gt;&lt;year&gt;2021&lt;/year&gt;&lt;/dates&gt;&lt;pub-location&gt;https://www.woundsource.com/patientcondition/chronic-wounds#:~:text=A%20chronic%20wound%20is%20one,Increased%20bacterial%20load&lt;/pub-location&gt;&lt;urls&gt;&lt;/urls&gt;&lt;/record&gt;&lt;/Cite&gt;&lt;/EndNote&gt;</w:instrText>
      </w:r>
      <w:r w:rsidRPr="0027216C">
        <w:fldChar w:fldCharType="end"/>
      </w:r>
      <w:r w:rsidRPr="0027216C">
        <w:t xml:space="preserve"> Die Österreichische Gesellschaft für </w:t>
      </w:r>
      <w:proofErr w:type="spellStart"/>
      <w:r w:rsidRPr="0027216C">
        <w:t>Dermatochirurgie</w:t>
      </w:r>
      <w:proofErr w:type="spellEnd"/>
      <w:r w:rsidRPr="0027216C">
        <w:t xml:space="preserve"> definiert als chronische Wunde einen </w:t>
      </w:r>
      <w:r w:rsidRPr="0027216C">
        <w:rPr>
          <w:i/>
          <w:iCs/>
        </w:rPr>
        <w:t>Gewebsdefekt, der trotz fachgerechter Behandlung innerhalb von drei Monaten keine Heilungstendenz zeigt bzw. innerhalb von zwölf Monaten nicht abgeheilt ist</w:t>
      </w:r>
      <w:r w:rsidRPr="0027216C">
        <w:t xml:space="preserve"> (ÖGDC 2023).</w:t>
      </w:r>
    </w:p>
    <w:p w14:paraId="47AF2BF9" w14:textId="77777777" w:rsidR="0095229F" w:rsidRPr="0027216C" w:rsidRDefault="00A42038" w:rsidP="00AE5135">
      <w:r w:rsidRPr="0027216C">
        <w:t>Für den vorliegenden QS wird die Definition aus der deutschen S3‐Leitlinie Lokaltherapie chronischer Wunden bei Patienten mit den Risiken periphere arterielle Verschlusskrankheit, Diabetes mellitus, chronische venöse Insuffizienz (AWMF 2023) herangezogen, wonach eine Wunde als chronisch bezeichnet wird, wenn ein Integritätsverlust der Haut und einer oder mehrerer darunter liegenden Strukturen mit einer fehlenden Abheilung innerhalb von acht Wochen besteht.</w:t>
      </w:r>
      <w:r w:rsidR="0095229F" w:rsidRPr="0027216C">
        <w:t xml:space="preserve"> </w:t>
      </w:r>
    </w:p>
    <w:p w14:paraId="584BCCB1" w14:textId="28519051" w:rsidR="0095229F" w:rsidRPr="0027216C" w:rsidRDefault="0095229F" w:rsidP="00AE5135">
      <w:r w:rsidRPr="0027216C">
        <w:t>Es gibt allerdings auch Wunden, die von Beginn an als chronisch anzusehen sind, da ihre Behandlung auch die Therapie der zugrunde</w:t>
      </w:r>
      <w:r w:rsidR="001A6E8F">
        <w:t xml:space="preserve"> </w:t>
      </w:r>
      <w:r w:rsidRPr="0027216C">
        <w:t xml:space="preserve">liegenden Erkrankung erfordert. Zu diesen Wunden zählen unter anderem </w:t>
      </w:r>
      <w:r w:rsidR="002827F5" w:rsidRPr="0027216C">
        <w:t xml:space="preserve">das diabetische </w:t>
      </w:r>
      <w:proofErr w:type="spellStart"/>
      <w:r w:rsidR="002827F5" w:rsidRPr="0027216C">
        <w:t>Fußulcus</w:t>
      </w:r>
      <w:proofErr w:type="spellEnd"/>
      <w:r w:rsidR="002827F5" w:rsidRPr="0027216C">
        <w:t>, Wunden bei peripherer arterieller Verschlusskrankheit (pAVK), Ulcus cruris venosum oder Dekubitus (ICW 2024).</w:t>
      </w:r>
    </w:p>
    <w:p w14:paraId="1A3B46A6" w14:textId="77777777" w:rsidR="007E3FAA" w:rsidRPr="0027216C" w:rsidRDefault="00A42038">
      <w:pPr>
        <w:pStyle w:val="berschrift3"/>
        <w:ind w:left="851" w:hanging="851"/>
      </w:pPr>
      <w:bookmarkStart w:id="41" w:name="_Toc123978051"/>
      <w:r w:rsidRPr="0027216C">
        <w:t>Ätiologie und Krankheitsfolgen</w:t>
      </w:r>
      <w:bookmarkEnd w:id="41"/>
      <w:r w:rsidRPr="0027216C">
        <w:t xml:space="preserve"> von chronischen Wunden</w:t>
      </w:r>
    </w:p>
    <w:p w14:paraId="6F121BEE" w14:textId="63C1369F" w:rsidR="007E3FAA" w:rsidRPr="0027216C" w:rsidRDefault="00A42038">
      <w:pPr>
        <w:pStyle w:val="Standard0"/>
      </w:pPr>
      <w:r w:rsidRPr="0027216C">
        <w:t>Eine gestörte Wundheilung und im Weiteren die Entstehung einer chronischen Wunde ist zumeist die direkte Folge einer Durchblutungsstörung (</w:t>
      </w:r>
      <w:r w:rsidR="00454708" w:rsidRPr="0027216C">
        <w:t xml:space="preserve">Makro- bzw. </w:t>
      </w:r>
      <w:r w:rsidRPr="0027216C">
        <w:t xml:space="preserve">Mikrozirkulationsstörung) und/oder von Immundefekten bzw. Infektionen (AWMF 2023). Die häufigsten Grunderkrankungen, die mit der Entstehung chronischer Wunden assoziiert werden, sind Diabetes mellitus, die CVI sowie die pAVK (vgl. AWMF 2023). Der </w:t>
      </w:r>
      <w:r w:rsidRPr="0027216C">
        <w:rPr>
          <w:rFonts w:cs="Lucida Sans Unicode"/>
          <w:lang w:val="de-DE"/>
        </w:rPr>
        <w:t>Dekubitus zählt ebenfalls zu den chronischen Wunden (</w:t>
      </w:r>
      <w:r w:rsidRPr="0027216C">
        <w:t>lokale Druckschädigung v</w:t>
      </w:r>
      <w:r w:rsidR="001A6E8F" w:rsidRPr="0027216C">
        <w:t>.</w:t>
      </w:r>
      <w:r w:rsidR="001A6E8F">
        <w:t> </w:t>
      </w:r>
      <w:r w:rsidRPr="0027216C">
        <w:t>a. im Rahmen von Immobilität und Bettlägerigkeit)</w:t>
      </w:r>
      <w:r w:rsidRPr="0027216C">
        <w:rPr>
          <w:rFonts w:cs="Lucida Sans Unicode"/>
          <w:lang w:val="de-DE"/>
        </w:rPr>
        <w:t xml:space="preserve">. Zusätzlich können </w:t>
      </w:r>
      <w:r w:rsidRPr="0027216C">
        <w:t>chronische Wunden auch durch Verletzungen, nach komplexen Operationen und aufgrund von Tumorerkrankungen oder Autoimmunerkrankungen entstehen. Länger andauernde Immobilität und Bettlägerigkeit, hohes Alter, Nikotinabusus (Rauchen), Adipositas und kardiovaskuläre Erkrankungen sind wichtige allgemeine Risikofaktoren für die Entwicklung einer chronischen Wunde (ÖGDC 2023).</w:t>
      </w:r>
    </w:p>
    <w:p w14:paraId="24C65A32" w14:textId="7B12813F" w:rsidR="007E3FAA" w:rsidRPr="0027216C" w:rsidRDefault="00A42038">
      <w:r w:rsidRPr="0027216C">
        <w:t xml:space="preserve">Chronische Wunden gehen oft mit schwerwiegenden Krankheitsfolgen für die betroffenen Patientinnen </w:t>
      </w:r>
      <w:r w:rsidR="00744742">
        <w:t xml:space="preserve">und Patienten </w:t>
      </w:r>
      <w:r w:rsidRPr="0027216C">
        <w:t>einher (u. a. langwierige und belastende Therapien, chronische Schmerzen, Wundgeruch, ausgeprägtes Krankheitsgefühl, verminderte Lebensqualität, Immobilität). Des Weiteren sind chronische Wunden mit einer erhöhten Amputationsrate und einer erhöhten Gesamtmortalität</w:t>
      </w:r>
      <w:r w:rsidR="00F262FB" w:rsidRPr="0027216C">
        <w:t xml:space="preserve"> </w:t>
      </w:r>
      <w:r w:rsidRPr="0027216C">
        <w:t>verbunden. Für das Gesundheitssystem kann die Versorgung von Patientinnen</w:t>
      </w:r>
      <w:r w:rsidR="006A5A7D">
        <w:t xml:space="preserve"> und Patienten</w:t>
      </w:r>
      <w:r w:rsidRPr="0027216C">
        <w:t>, die chronische Wunden aufweisen, erhebliche Kosten verursachen (Olsson 2019).</w:t>
      </w:r>
    </w:p>
    <w:p w14:paraId="687EF6D2" w14:textId="77777777" w:rsidR="007E3FAA" w:rsidRPr="0027216C" w:rsidRDefault="00A42038">
      <w:pPr>
        <w:pStyle w:val="berschrift3"/>
        <w:ind w:left="851" w:hanging="851"/>
      </w:pPr>
      <w:bookmarkStart w:id="42" w:name="_Toc123978052"/>
      <w:r w:rsidRPr="0027216C">
        <w:t>Epidemiologie</w:t>
      </w:r>
      <w:bookmarkEnd w:id="42"/>
      <w:r w:rsidRPr="0027216C">
        <w:t xml:space="preserve"> chronischer Wunden</w:t>
      </w:r>
    </w:p>
    <w:p w14:paraId="69CFBB24" w14:textId="0A78DC31" w:rsidR="007E3FAA" w:rsidRPr="0027216C" w:rsidRDefault="00A42038">
      <w:pPr>
        <w:pStyle w:val="Standard0"/>
      </w:pPr>
      <w:r w:rsidRPr="0027216C">
        <w:t>Verlässliche Daten zur Häufigkeit chronischer Wunden liegen derzeit weder international noch für Österreich vor. Studien aus westeuropäischen Ländern (Deutschland, Großbritannien, Irland, Island, Neuseeland, Portugal und Schweden) geben eine erhebliche Spannbreite der Prävalenz chronischer Wunden an, von 1,5 bis zu 50 Patientinnen</w:t>
      </w:r>
      <w:r w:rsidR="009C568C">
        <w:t xml:space="preserve"> bzw. Patienten</w:t>
      </w:r>
      <w:r w:rsidRPr="0027216C">
        <w:t xml:space="preserve"> pro 1.000 </w:t>
      </w:r>
      <w:proofErr w:type="spellStart"/>
      <w:proofErr w:type="gramStart"/>
      <w:r w:rsidRPr="0027216C">
        <w:t>Einwohner</w:t>
      </w:r>
      <w:r w:rsidR="001A6E8F">
        <w:t>:</w:t>
      </w:r>
      <w:r w:rsidRPr="0027216C">
        <w:t>innen</w:t>
      </w:r>
      <w:proofErr w:type="spellEnd"/>
      <w:proofErr w:type="gramEnd"/>
      <w:r w:rsidRPr="0027216C">
        <w:t xml:space="preserve"> (Guest 2020</w:t>
      </w:r>
      <w:r w:rsidR="001A6E8F">
        <w:t>;</w:t>
      </w:r>
      <w:r w:rsidRPr="0027216C">
        <w:t xml:space="preserve"> Heyer 2016</w:t>
      </w:r>
      <w:r w:rsidR="001A6E8F">
        <w:t>;</w:t>
      </w:r>
      <w:r w:rsidRPr="0027216C">
        <w:t xml:space="preserve"> </w:t>
      </w:r>
      <w:proofErr w:type="spellStart"/>
      <w:r w:rsidRPr="0027216C">
        <w:t>Marinengo</w:t>
      </w:r>
      <w:proofErr w:type="spellEnd"/>
      <w:r w:rsidRPr="0027216C">
        <w:t xml:space="preserve"> 2019</w:t>
      </w:r>
      <w:r w:rsidR="001A6E8F">
        <w:t>;</w:t>
      </w:r>
      <w:r w:rsidRPr="0027216C">
        <w:t xml:space="preserve"> Köster 2015). Hinzu kommt, dass die Prävalenz</w:t>
      </w:r>
      <w:r w:rsidRPr="0027216C">
        <w:lastRenderedPageBreak/>
        <w:t>daten für chronische Wunden zumeist nur im Rahmen einer ärztlichen Behandlung erhoben w</w:t>
      </w:r>
      <w:r w:rsidR="001A6E8F">
        <w:t>o</w:t>
      </w:r>
      <w:r w:rsidRPr="0027216C">
        <w:t xml:space="preserve">rden </w:t>
      </w:r>
      <w:r w:rsidR="001A6E8F">
        <w:t xml:space="preserve">sind </w:t>
      </w:r>
      <w:r w:rsidRPr="0027216C">
        <w:t xml:space="preserve">und </w:t>
      </w:r>
      <w:r w:rsidRPr="0027216C">
        <w:rPr>
          <w:spacing w:val="-1"/>
        </w:rPr>
        <w:t xml:space="preserve">die Dunkelziffer der unbehandelten chronischen Wunden nur unzureichend geschätzt werden kann. </w:t>
      </w:r>
      <w:r w:rsidRPr="0027216C">
        <w:t>Zum Zeitpunkt der Erstellung des vorliegenden QS werden auch in Österreich chronische Wunden nicht ausreichend standardisiert dokumentiert. Für Österreich liegen mithin ebenso keine gesicherten epidemiologischen Daten vor</w:t>
      </w:r>
      <w:r w:rsidR="00F262FB" w:rsidRPr="0027216C">
        <w:t>. Ins</w:t>
      </w:r>
      <w:r w:rsidRPr="0027216C">
        <w:t>besondere fehlen Daten aus dem extramuralen Bereich.</w:t>
      </w:r>
    </w:p>
    <w:p w14:paraId="614B40A6" w14:textId="72B00D43" w:rsidR="007E3FAA" w:rsidRPr="0027216C" w:rsidRDefault="00A42038">
      <w:r w:rsidRPr="0027216C">
        <w:t>Durch die zunehmende Alterung der europäischen Bevölkerung und die Zunahme der primären Risikofaktoren (u. a. Diabetes mellitus, pAVK, koronare Herzerkrankung) ist auch von einer Zunahme der Häufigkeit von Patientinnen</w:t>
      </w:r>
      <w:r w:rsidR="009F7D06">
        <w:t xml:space="preserve"> und</w:t>
      </w:r>
      <w:r w:rsidR="001A6E8F">
        <w:t xml:space="preserve"> </w:t>
      </w:r>
      <w:r w:rsidR="009F7D06">
        <w:t>Patienten</w:t>
      </w:r>
      <w:r w:rsidRPr="0027216C">
        <w:t xml:space="preserve"> mit chronischen Wunden in den kommenden Jahren auszugehen.</w:t>
      </w:r>
    </w:p>
    <w:p w14:paraId="1EFC01B7" w14:textId="77777777" w:rsidR="007E3FAA" w:rsidRPr="0027216C" w:rsidRDefault="00A42038">
      <w:pPr>
        <w:pStyle w:val="berschrift3"/>
        <w:ind w:left="851" w:hanging="851"/>
      </w:pPr>
      <w:bookmarkStart w:id="43" w:name="_Toc123978053"/>
      <w:r w:rsidRPr="0027216C">
        <w:t>Diagnostik und Therapie</w:t>
      </w:r>
      <w:bookmarkEnd w:id="43"/>
      <w:r w:rsidRPr="0027216C">
        <w:t xml:space="preserve"> chronischer Wunden</w:t>
      </w:r>
    </w:p>
    <w:p w14:paraId="44DA820D" w14:textId="09C2ED35" w:rsidR="007E3FAA" w:rsidRPr="0027216C" w:rsidRDefault="00A42038">
      <w:pPr>
        <w:pStyle w:val="Standard0"/>
        <w:rPr>
          <w:lang w:val="de-DE"/>
        </w:rPr>
      </w:pPr>
      <w:r w:rsidRPr="0027216C">
        <w:t xml:space="preserve">Die wissenschaftlich‐medizinischen Empfehlungen zur Diagnostik und Therapie chronischer Wunden sind in den entsprechenden klinischen Leitlinien dargestellt (u. a. AWMF 2023) und werden im vorliegenden QS nicht weiter beschrieben. </w:t>
      </w:r>
      <w:r w:rsidR="00B27A70" w:rsidRPr="0027216C">
        <w:t xml:space="preserve">Ein strukturiertes Vorgehen bei Diagnostik und Therapie ist anzustreben. </w:t>
      </w:r>
      <w:r w:rsidRPr="0027216C">
        <w:t xml:space="preserve">Auch auf die Vielzahl </w:t>
      </w:r>
      <w:r w:rsidRPr="00AB73AD">
        <w:t xml:space="preserve">unterschiedlicher lokaltherapeutischer Optionen und Wundauflagen („Wundprodukte“) wird in diesem QS nicht eingegangen. </w:t>
      </w:r>
      <w:r w:rsidR="009A607A" w:rsidRPr="00AB73AD">
        <w:rPr>
          <w:rStyle w:val="cf01"/>
          <w:sz w:val="20"/>
          <w:szCs w:val="20"/>
        </w:rPr>
        <w:t xml:space="preserve">Von besonderer Bedeutung für eine adäquate Versorgung </w:t>
      </w:r>
      <w:r w:rsidR="009A607A" w:rsidRPr="00AB4EA8">
        <w:rPr>
          <w:rStyle w:val="cf01"/>
          <w:sz w:val="20"/>
          <w:szCs w:val="20"/>
        </w:rPr>
        <w:t>von Patientinnen und Patienten mit chronischen Wunden ist, dass neben den lokaltherapeutischen Maßnahmen (sie</w:t>
      </w:r>
      <w:r w:rsidR="003C692A">
        <w:rPr>
          <w:rStyle w:val="cf01"/>
          <w:sz w:val="20"/>
          <w:szCs w:val="20"/>
        </w:rPr>
        <w:t>he</w:t>
      </w:r>
      <w:r w:rsidR="00157E43">
        <w:rPr>
          <w:rStyle w:val="cf01"/>
          <w:sz w:val="20"/>
          <w:szCs w:val="20"/>
        </w:rPr>
        <w:t xml:space="preserve"> </w:t>
      </w:r>
      <w:r w:rsidR="00157E43">
        <w:rPr>
          <w:rStyle w:val="cf01"/>
          <w:sz w:val="20"/>
          <w:szCs w:val="20"/>
        </w:rPr>
        <w:fldChar w:fldCharType="begin"/>
      </w:r>
      <w:r w:rsidR="00157E43">
        <w:rPr>
          <w:rStyle w:val="cf01"/>
          <w:sz w:val="20"/>
          <w:szCs w:val="20"/>
        </w:rPr>
        <w:instrText xml:space="preserve"> REF _Ref209708779 \h </w:instrText>
      </w:r>
      <w:r w:rsidR="00157E43">
        <w:rPr>
          <w:rStyle w:val="cf01"/>
          <w:sz w:val="20"/>
          <w:szCs w:val="20"/>
        </w:rPr>
      </w:r>
      <w:r w:rsidR="00157E43">
        <w:rPr>
          <w:rStyle w:val="cf01"/>
          <w:sz w:val="20"/>
          <w:szCs w:val="20"/>
        </w:rPr>
        <w:fldChar w:fldCharType="separate"/>
      </w:r>
      <w:r w:rsidR="00157E43" w:rsidRPr="0027216C">
        <w:t>Empfehlung 6</w:t>
      </w:r>
      <w:r w:rsidR="00157E43">
        <w:rPr>
          <w:rStyle w:val="cf01"/>
          <w:sz w:val="20"/>
          <w:szCs w:val="20"/>
        </w:rPr>
        <w:fldChar w:fldCharType="end"/>
      </w:r>
      <w:r w:rsidR="009A607A" w:rsidRPr="00AB4EA8">
        <w:rPr>
          <w:rStyle w:val="cf01"/>
          <w:sz w:val="20"/>
          <w:szCs w:val="20"/>
        </w:rPr>
        <w:t>) auch Behandlungen von Grunderkrankungen (v</w:t>
      </w:r>
      <w:r w:rsidR="00AF39FA" w:rsidRPr="00AB4EA8">
        <w:rPr>
          <w:rStyle w:val="cf01"/>
          <w:sz w:val="20"/>
          <w:szCs w:val="20"/>
        </w:rPr>
        <w:t>.</w:t>
      </w:r>
      <w:r w:rsidR="00AF39FA">
        <w:rPr>
          <w:rStyle w:val="cf01"/>
          <w:sz w:val="20"/>
          <w:szCs w:val="20"/>
        </w:rPr>
        <w:t> </w:t>
      </w:r>
      <w:r w:rsidR="009A607A" w:rsidRPr="00AB4EA8">
        <w:rPr>
          <w:rStyle w:val="cf01"/>
          <w:sz w:val="20"/>
          <w:szCs w:val="20"/>
        </w:rPr>
        <w:t xml:space="preserve">a. Diabetes mellitus, pAVK, CVI) </w:t>
      </w:r>
      <w:r w:rsidR="009A607A" w:rsidRPr="00AB4EA8">
        <w:rPr>
          <w:rStyle w:val="cf11"/>
          <w:color w:val="auto"/>
          <w:sz w:val="20"/>
          <w:szCs w:val="20"/>
          <w:shd w:val="clear" w:color="auto" w:fill="auto"/>
        </w:rPr>
        <w:t>bzw. Begleitumständen (bspw. Mangelernährung, Bewegungseinschränkungen)</w:t>
      </w:r>
      <w:r w:rsidR="009A607A" w:rsidRPr="00AB4EA8">
        <w:rPr>
          <w:rStyle w:val="cf21"/>
          <w:color w:val="auto"/>
          <w:sz w:val="20"/>
          <w:szCs w:val="20"/>
        </w:rPr>
        <w:t xml:space="preserve"> </w:t>
      </w:r>
      <w:r w:rsidR="009A607A" w:rsidRPr="00AB4EA8">
        <w:rPr>
          <w:rStyle w:val="cf01"/>
          <w:sz w:val="20"/>
          <w:szCs w:val="20"/>
        </w:rPr>
        <w:t>erforderlich sein können. Ebenso benötigen Patientinnen und Patienten oft eine langfristige</w:t>
      </w:r>
      <w:r w:rsidR="009A607A" w:rsidRPr="00AB4EA8">
        <w:rPr>
          <w:rStyle w:val="cf21"/>
          <w:color w:val="auto"/>
          <w:sz w:val="20"/>
          <w:szCs w:val="20"/>
        </w:rPr>
        <w:t xml:space="preserve"> (</w:t>
      </w:r>
      <w:r w:rsidR="009A607A" w:rsidRPr="00AB4EA8">
        <w:rPr>
          <w:rStyle w:val="cf11"/>
          <w:color w:val="auto"/>
          <w:sz w:val="20"/>
          <w:szCs w:val="20"/>
          <w:shd w:val="clear" w:color="auto" w:fill="auto"/>
        </w:rPr>
        <w:t>u</w:t>
      </w:r>
      <w:r w:rsidR="00AF39FA" w:rsidRPr="00AB4EA8">
        <w:rPr>
          <w:rStyle w:val="cf11"/>
          <w:color w:val="auto"/>
          <w:sz w:val="20"/>
          <w:szCs w:val="20"/>
          <w:shd w:val="clear" w:color="auto" w:fill="auto"/>
        </w:rPr>
        <w:t>.</w:t>
      </w:r>
      <w:r w:rsidR="00AF39FA">
        <w:rPr>
          <w:rStyle w:val="cf11"/>
          <w:color w:val="auto"/>
          <w:sz w:val="20"/>
          <w:szCs w:val="20"/>
          <w:shd w:val="clear" w:color="auto" w:fill="auto"/>
        </w:rPr>
        <w:t> </w:t>
      </w:r>
      <w:r w:rsidR="009A607A" w:rsidRPr="00AB4EA8">
        <w:rPr>
          <w:rStyle w:val="cf11"/>
          <w:color w:val="auto"/>
          <w:sz w:val="20"/>
          <w:szCs w:val="20"/>
          <w:shd w:val="clear" w:color="auto" w:fill="auto"/>
        </w:rPr>
        <w:t>a.</w:t>
      </w:r>
      <w:r w:rsidR="009A607A" w:rsidRPr="00AB4EA8">
        <w:rPr>
          <w:rStyle w:val="cf01"/>
          <w:sz w:val="20"/>
          <w:szCs w:val="20"/>
        </w:rPr>
        <w:t xml:space="preserve"> ärztliche, pflegerische</w:t>
      </w:r>
      <w:r w:rsidR="009A607A" w:rsidRPr="00AB4EA8">
        <w:rPr>
          <w:rStyle w:val="cf11"/>
          <w:color w:val="auto"/>
          <w:sz w:val="20"/>
          <w:szCs w:val="20"/>
          <w:shd w:val="clear" w:color="auto" w:fill="auto"/>
        </w:rPr>
        <w:t>, therapeutische</w:t>
      </w:r>
      <w:r w:rsidR="009A607A" w:rsidRPr="00AB4EA8">
        <w:rPr>
          <w:rStyle w:val="cf01"/>
          <w:sz w:val="20"/>
          <w:szCs w:val="20"/>
        </w:rPr>
        <w:t xml:space="preserve"> und psychosoziale) Unterstützung.</w:t>
      </w:r>
      <w:r w:rsidRPr="00AB4EA8">
        <w:t xml:space="preserve"> Vor diesem Hintergrund wird deutlich, dass die Umsetzung einer leitlinienkonformen Diagnostik und Therapie chronischer Wunden sowohl für die GDA als auch für die Betroffenen komplex und aufwendig sein kann und dass dafür häufig eine multimodale,</w:t>
      </w:r>
      <w:r w:rsidR="00CC0ACB" w:rsidRPr="00AB4EA8">
        <w:t xml:space="preserve"> interprofessionelle</w:t>
      </w:r>
      <w:r w:rsidRPr="00AB4EA8">
        <w:t xml:space="preserve"> und einrichtungsübergreifende Versorgung erforderlich ist. Klinisch</w:t>
      </w:r>
      <w:r w:rsidRPr="0027216C">
        <w:t>‐medizinische Empfehlungen betreffend zugrunde</w:t>
      </w:r>
      <w:r w:rsidR="00AF39FA">
        <w:t xml:space="preserve"> </w:t>
      </w:r>
      <w:r w:rsidRPr="0027216C">
        <w:t>liegende Erkrankungen wie Diabetes mellitus, CVI oder pAVK sind nicht Gegenstand des vorliegenden QS.</w:t>
      </w:r>
    </w:p>
    <w:p w14:paraId="0DBC0BE3" w14:textId="77777777" w:rsidR="007E3FAA" w:rsidRPr="0027216C" w:rsidRDefault="00A42038">
      <w:pPr>
        <w:pStyle w:val="berschrift2"/>
        <w:rPr>
          <w:lang w:val="de-DE"/>
        </w:rPr>
      </w:pPr>
      <w:bookmarkStart w:id="44" w:name="_Toc123978054"/>
      <w:bookmarkStart w:id="45" w:name="_Toc211342055"/>
      <w:r w:rsidRPr="0027216C">
        <w:rPr>
          <w:lang w:val="de-DE"/>
        </w:rPr>
        <w:t>Versorgungssituation in Österreich</w:t>
      </w:r>
      <w:bookmarkEnd w:id="44"/>
      <w:bookmarkEnd w:id="45"/>
    </w:p>
    <w:p w14:paraId="0220AACE" w14:textId="743E09F1" w:rsidR="007E3FAA" w:rsidRPr="0027216C" w:rsidRDefault="00A42038">
      <w:pPr>
        <w:rPr>
          <w:lang w:val="de-DE"/>
        </w:rPr>
      </w:pPr>
      <w:r w:rsidRPr="0027216C">
        <w:t xml:space="preserve">Die Behandlung chronischer Wunden wird im </w:t>
      </w:r>
      <w:proofErr w:type="gramStart"/>
      <w:r w:rsidRPr="0027216C">
        <w:t>Ö</w:t>
      </w:r>
      <w:r w:rsidR="00AF39FA">
        <w:t>sterreichischen</w:t>
      </w:r>
      <w:proofErr w:type="gramEnd"/>
      <w:r w:rsidR="00AF39FA">
        <w:t xml:space="preserve"> </w:t>
      </w:r>
      <w:r w:rsidRPr="0027216C">
        <w:t>S</w:t>
      </w:r>
      <w:r w:rsidR="00AF39FA">
        <w:t xml:space="preserve">trukturplan </w:t>
      </w:r>
      <w:r w:rsidRPr="0027216C">
        <w:t>G</w:t>
      </w:r>
      <w:r w:rsidR="00AF39FA">
        <w:t>esundheit</w:t>
      </w:r>
      <w:r w:rsidRPr="0027216C">
        <w:t xml:space="preserve"> (2023) explizit angeführt. </w:t>
      </w:r>
      <w:r w:rsidRPr="0027216C">
        <w:rPr>
          <w:lang w:val="de-DE"/>
        </w:rPr>
        <w:t>D</w:t>
      </w:r>
      <w:r w:rsidR="00AF39FA">
        <w:rPr>
          <w:lang w:val="de-DE"/>
        </w:rPr>
        <w:t>ies</w:t>
      </w:r>
      <w:r w:rsidRPr="0027216C">
        <w:rPr>
          <w:lang w:val="de-DE"/>
        </w:rPr>
        <w:t xml:space="preserve">er baut grundsätzlich auf einem Stufenmodell von der Laienversorgung bis hin zur stationären Behandlung, der sogenannten abgestuften Versorgung, auf. Ein (bundesweites) </w:t>
      </w:r>
      <w:r w:rsidRPr="0027216C">
        <w:t xml:space="preserve">abgestuftes Versorgungskonzept </w:t>
      </w:r>
      <w:r w:rsidRPr="0027216C">
        <w:rPr>
          <w:lang w:val="de-DE"/>
        </w:rPr>
        <w:t xml:space="preserve">für Patientinnen </w:t>
      </w:r>
      <w:r w:rsidR="00972E33">
        <w:rPr>
          <w:lang w:val="de-DE"/>
        </w:rPr>
        <w:t xml:space="preserve">und Patienten </w:t>
      </w:r>
      <w:r w:rsidRPr="0027216C">
        <w:rPr>
          <w:lang w:val="de-DE"/>
        </w:rPr>
        <w:t xml:space="preserve">mit chronischen Wunden findet sich im </w:t>
      </w:r>
      <w:proofErr w:type="gramStart"/>
      <w:r w:rsidR="00AF39FA" w:rsidRPr="0027216C">
        <w:t>Ö</w:t>
      </w:r>
      <w:r w:rsidR="00AF39FA">
        <w:t>sterreichischen</w:t>
      </w:r>
      <w:proofErr w:type="gramEnd"/>
      <w:r w:rsidR="00AF39FA">
        <w:t xml:space="preserve"> </w:t>
      </w:r>
      <w:r w:rsidR="00AF39FA" w:rsidRPr="0027216C">
        <w:t>S</w:t>
      </w:r>
      <w:r w:rsidR="00AF39FA">
        <w:t xml:space="preserve">trukturplan </w:t>
      </w:r>
      <w:r w:rsidR="00AF39FA" w:rsidRPr="0027216C">
        <w:t>G</w:t>
      </w:r>
      <w:r w:rsidR="00AF39FA">
        <w:t>esundheit</w:t>
      </w:r>
      <w:r w:rsidR="00AF39FA" w:rsidRPr="0027216C">
        <w:t xml:space="preserve"> </w:t>
      </w:r>
      <w:r w:rsidR="00AF39FA">
        <w:t>(</w:t>
      </w:r>
      <w:r w:rsidRPr="0027216C">
        <w:rPr>
          <w:lang w:val="de-DE"/>
        </w:rPr>
        <w:t>ÖSG</w:t>
      </w:r>
      <w:r w:rsidR="00AF39FA">
        <w:rPr>
          <w:lang w:val="de-DE"/>
        </w:rPr>
        <w:t>)</w:t>
      </w:r>
      <w:r w:rsidRPr="0027216C">
        <w:rPr>
          <w:lang w:val="de-DE"/>
        </w:rPr>
        <w:t xml:space="preserve"> derzeit nicht.</w:t>
      </w:r>
    </w:p>
    <w:p w14:paraId="3A45622D" w14:textId="25F236B7" w:rsidR="007E3FAA" w:rsidRPr="0027216C" w:rsidRDefault="00A42038">
      <w:r w:rsidRPr="0027216C">
        <w:t xml:space="preserve">Im Gesundheits- und Krankenpflegegesetz </w:t>
      </w:r>
      <w:r w:rsidRPr="0027216C">
        <w:rPr>
          <w:lang w:val="de-DE"/>
        </w:rPr>
        <w:t>(GuKG)</w:t>
      </w:r>
      <w:r w:rsidRPr="0027216C">
        <w:rPr>
          <w:color w:val="FF0000"/>
          <w:lang w:val="de-DE"/>
        </w:rPr>
        <w:t xml:space="preserve"> </w:t>
      </w:r>
      <w:r w:rsidRPr="0027216C">
        <w:t>ist das Wundmanagement ebenfalls</w:t>
      </w:r>
      <w:r w:rsidRPr="0027216C">
        <w:rPr>
          <w:lang w:val="de-DE"/>
        </w:rPr>
        <w:t xml:space="preserve"> verankert,</w:t>
      </w:r>
      <w:r w:rsidRPr="0027216C">
        <w:t xml:space="preserve"> unter anderem </w:t>
      </w:r>
      <w:r w:rsidR="00882EA6" w:rsidRPr="0027216C">
        <w:rPr>
          <w:lang w:val="de-DE"/>
        </w:rPr>
        <w:t xml:space="preserve">in den </w:t>
      </w:r>
      <w:r w:rsidR="00847A4C" w:rsidRPr="0027216C">
        <w:rPr>
          <w:lang w:val="de-DE"/>
        </w:rPr>
        <w:t>§§</w:t>
      </w:r>
      <w:r w:rsidR="00847A4C">
        <w:rPr>
          <w:lang w:val="de-DE"/>
        </w:rPr>
        <w:t> </w:t>
      </w:r>
      <w:r w:rsidR="00882EA6" w:rsidRPr="0027216C">
        <w:rPr>
          <w:lang w:val="de-DE"/>
        </w:rPr>
        <w:t>1</w:t>
      </w:r>
      <w:r w:rsidR="00ED3F09" w:rsidRPr="0027216C">
        <w:rPr>
          <w:lang w:val="de-DE"/>
        </w:rPr>
        <w:t>7</w:t>
      </w:r>
      <w:r w:rsidR="00882EA6" w:rsidRPr="0027216C">
        <w:rPr>
          <w:lang w:val="de-DE"/>
        </w:rPr>
        <w:t xml:space="preserve"> und 22a. </w:t>
      </w:r>
      <w:r w:rsidRPr="0027216C">
        <w:rPr>
          <w:lang w:val="de-DE"/>
        </w:rPr>
        <w:t>Es umfasst dort alle übertragenen medizinischen und originär pflegerischen Maßnahmen und Interventionen, die dazu dienen, die Entstehung einer chronischen Wunde zu verhindern, eine Wunde zu erkennen, den Wundheilungsprozess zu beschleunigen, Rezidive zu vermeiden und die Lebensqualität sowie die Selbst‐ und Gesundheitskompetenz der Patientinnen</w:t>
      </w:r>
      <w:r w:rsidR="00972E33">
        <w:rPr>
          <w:lang w:val="de-DE"/>
        </w:rPr>
        <w:t xml:space="preserve"> und Patienten</w:t>
      </w:r>
      <w:r w:rsidRPr="0027216C">
        <w:rPr>
          <w:lang w:val="de-DE"/>
        </w:rPr>
        <w:t xml:space="preserve"> zu erhöhen.</w:t>
      </w:r>
    </w:p>
    <w:p w14:paraId="12D41AD1" w14:textId="668C4130" w:rsidR="007E3FAA" w:rsidRPr="0027216C" w:rsidRDefault="00A42038">
      <w:pPr>
        <w:pStyle w:val="Standard0"/>
        <w:spacing w:before="270"/>
        <w:rPr>
          <w:lang w:val="de-DE"/>
        </w:rPr>
      </w:pPr>
      <w:r w:rsidRPr="0027216C">
        <w:lastRenderedPageBreak/>
        <w:t>Die Versorgung von Patientinnen</w:t>
      </w:r>
      <w:r w:rsidR="00C37397" w:rsidRPr="0027216C">
        <w:t xml:space="preserve"> und Patienten</w:t>
      </w:r>
      <w:r w:rsidRPr="0027216C">
        <w:t>, die chronische Wunden aufweisen, kann</w:t>
      </w:r>
      <w:r w:rsidRPr="0027216C">
        <w:rPr>
          <w:color w:val="FF0000"/>
        </w:rPr>
        <w:t xml:space="preserve"> </w:t>
      </w:r>
      <w:r w:rsidRPr="0027216C">
        <w:t xml:space="preserve">im </w:t>
      </w:r>
      <w:proofErr w:type="spellStart"/>
      <w:r w:rsidRPr="0027216C">
        <w:t>österr</w:t>
      </w:r>
      <w:r w:rsidRPr="0027216C">
        <w:rPr>
          <w:lang w:val="de-DE"/>
        </w:rPr>
        <w:t>eichischen</w:t>
      </w:r>
      <w:proofErr w:type="spellEnd"/>
      <w:r w:rsidRPr="0027216C">
        <w:rPr>
          <w:lang w:val="de-DE"/>
        </w:rPr>
        <w:t xml:space="preserve"> Gesundheitssystem </w:t>
      </w:r>
      <w:r w:rsidR="00110F1B" w:rsidRPr="0027216C">
        <w:rPr>
          <w:lang w:val="de-DE"/>
        </w:rPr>
        <w:t xml:space="preserve">intramural, extramural oder zu Hause erfolgen </w:t>
      </w:r>
      <w:r w:rsidRPr="0027216C">
        <w:rPr>
          <w:lang w:val="de-DE"/>
        </w:rPr>
        <w:t>und durch unterschiedliche GDA</w:t>
      </w:r>
      <w:r w:rsidR="002E5361" w:rsidRPr="0027216C">
        <w:rPr>
          <w:lang w:val="de-DE"/>
        </w:rPr>
        <w:t xml:space="preserve">, </w:t>
      </w:r>
      <w:r w:rsidR="00595ABB" w:rsidRPr="0027216C">
        <w:rPr>
          <w:lang w:val="de-DE"/>
        </w:rPr>
        <w:t>im Rahmen der jeweils geltenden Berufsgesetze</w:t>
      </w:r>
      <w:r w:rsidR="002E5361" w:rsidRPr="0027216C">
        <w:rPr>
          <w:lang w:val="de-DE"/>
        </w:rPr>
        <w:t>,</w:t>
      </w:r>
      <w:r w:rsidRPr="0027216C">
        <w:rPr>
          <w:lang w:val="de-DE"/>
        </w:rPr>
        <w:t xml:space="preserve"> </w:t>
      </w:r>
      <w:r w:rsidR="00110F1B" w:rsidRPr="0027216C">
        <w:rPr>
          <w:lang w:val="de-DE"/>
        </w:rPr>
        <w:t>durchgeführt werden</w:t>
      </w:r>
      <w:r w:rsidRPr="0027216C">
        <w:rPr>
          <w:lang w:val="de-DE"/>
        </w:rPr>
        <w:t>:</w:t>
      </w:r>
    </w:p>
    <w:p w14:paraId="6E156C76" w14:textId="360713CA" w:rsidR="007E3FAA" w:rsidRPr="0027216C" w:rsidRDefault="00A42038" w:rsidP="00157E43">
      <w:pPr>
        <w:pStyle w:val="Liste1"/>
        <w:rPr>
          <w:color w:val="EE0000"/>
          <w:lang w:val="de-DE"/>
        </w:rPr>
      </w:pPr>
      <w:r w:rsidRPr="0027216C">
        <w:rPr>
          <w:lang w:val="de-DE"/>
        </w:rPr>
        <w:t xml:space="preserve">Im </w:t>
      </w:r>
      <w:r w:rsidRPr="00157E43">
        <w:t>Rahmen</w:t>
      </w:r>
      <w:r w:rsidRPr="0027216C">
        <w:rPr>
          <w:lang w:val="de-DE"/>
        </w:rPr>
        <w:t xml:space="preserve"> der </w:t>
      </w:r>
      <w:r w:rsidRPr="00157E43">
        <w:rPr>
          <w:rFonts w:ascii="Segoe UI Semibold" w:hAnsi="Segoe UI Semibold" w:cs="Segoe UI Semibold"/>
          <w:lang w:val="de-DE"/>
        </w:rPr>
        <w:t>Primärversorgung</w:t>
      </w:r>
      <w:r w:rsidRPr="0027216C">
        <w:rPr>
          <w:lang w:val="de-DE"/>
        </w:rPr>
        <w:t xml:space="preserve"> kann die Wundversorgung durch niedergelassene </w:t>
      </w:r>
      <w:r w:rsidR="00BE1B2D">
        <w:rPr>
          <w:lang w:val="de-DE"/>
        </w:rPr>
        <w:br/>
      </w:r>
      <w:r w:rsidRPr="0027216C">
        <w:rPr>
          <w:lang w:val="de-DE"/>
        </w:rPr>
        <w:t xml:space="preserve">Ärztinnen </w:t>
      </w:r>
      <w:r w:rsidR="005E0976" w:rsidRPr="0027216C">
        <w:rPr>
          <w:lang w:val="de-DE"/>
        </w:rPr>
        <w:t xml:space="preserve">und Ärzte </w:t>
      </w:r>
      <w:r w:rsidRPr="0027216C">
        <w:rPr>
          <w:lang w:val="de-DE"/>
        </w:rPr>
        <w:t xml:space="preserve">sowie diplomierte </w:t>
      </w:r>
      <w:proofErr w:type="spellStart"/>
      <w:r w:rsidRPr="0027216C">
        <w:rPr>
          <w:lang w:val="de-DE"/>
        </w:rPr>
        <w:t>Gesundheits</w:t>
      </w:r>
      <w:proofErr w:type="spellEnd"/>
      <w:r w:rsidRPr="0027216C">
        <w:rPr>
          <w:lang w:val="de-DE"/>
        </w:rPr>
        <w:t xml:space="preserve">‐ und </w:t>
      </w:r>
      <w:proofErr w:type="spellStart"/>
      <w:proofErr w:type="gramStart"/>
      <w:r w:rsidRPr="0027216C">
        <w:rPr>
          <w:lang w:val="de-DE"/>
        </w:rPr>
        <w:t>Krankenpfleger:innen</w:t>
      </w:r>
      <w:proofErr w:type="spellEnd"/>
      <w:proofErr w:type="gramEnd"/>
      <w:r w:rsidRPr="0027216C">
        <w:rPr>
          <w:lang w:val="de-DE"/>
        </w:rPr>
        <w:t xml:space="preserve"> (DGKP, ggf. mit einer Weiterbildung</w:t>
      </w:r>
      <w:r w:rsidR="004831E3" w:rsidRPr="0027216C">
        <w:rPr>
          <w:lang w:val="de-DE"/>
        </w:rPr>
        <w:t>/Spezialisierung</w:t>
      </w:r>
      <w:r w:rsidRPr="0027216C">
        <w:rPr>
          <w:color w:val="00B050"/>
          <w:lang w:val="de-DE"/>
        </w:rPr>
        <w:t xml:space="preserve"> </w:t>
      </w:r>
      <w:r w:rsidRPr="0027216C">
        <w:rPr>
          <w:lang w:val="de-DE"/>
        </w:rPr>
        <w:t xml:space="preserve">im Bereich Wundmanagement) erfolgen. </w:t>
      </w:r>
      <w:r w:rsidR="00266EF1" w:rsidRPr="0027216C">
        <w:rPr>
          <w:color w:val="000000" w:themeColor="text1"/>
          <w:lang w:val="de-DE"/>
        </w:rPr>
        <w:t>Andere Berufsgruppen (z.</w:t>
      </w:r>
      <w:r w:rsidR="00DC298C" w:rsidRPr="0027216C">
        <w:rPr>
          <w:color w:val="000000" w:themeColor="text1"/>
          <w:lang w:val="de-DE"/>
        </w:rPr>
        <w:t> </w:t>
      </w:r>
      <w:r w:rsidR="00266EF1" w:rsidRPr="0027216C">
        <w:rPr>
          <w:color w:val="000000" w:themeColor="text1"/>
          <w:lang w:val="de-DE"/>
        </w:rPr>
        <w:t xml:space="preserve">B. </w:t>
      </w:r>
      <w:proofErr w:type="spellStart"/>
      <w:proofErr w:type="gramStart"/>
      <w:r w:rsidR="00266EF1" w:rsidRPr="0027216C">
        <w:rPr>
          <w:color w:val="000000" w:themeColor="text1"/>
          <w:lang w:val="de-DE"/>
        </w:rPr>
        <w:t>Apotheker:innen</w:t>
      </w:r>
      <w:proofErr w:type="spellEnd"/>
      <w:proofErr w:type="gramEnd"/>
      <w:r w:rsidR="00266EF1" w:rsidRPr="0027216C">
        <w:rPr>
          <w:color w:val="000000" w:themeColor="text1"/>
          <w:lang w:val="de-DE"/>
        </w:rPr>
        <w:t>, Diätologinnen</w:t>
      </w:r>
      <w:r w:rsidR="005E0976" w:rsidRPr="0027216C">
        <w:rPr>
          <w:color w:val="000000" w:themeColor="text1"/>
          <w:lang w:val="de-DE"/>
        </w:rPr>
        <w:t xml:space="preserve"> und </w:t>
      </w:r>
      <w:proofErr w:type="spellStart"/>
      <w:r w:rsidR="005E0976" w:rsidRPr="0027216C">
        <w:rPr>
          <w:color w:val="000000" w:themeColor="text1"/>
          <w:lang w:val="de-DE"/>
        </w:rPr>
        <w:t>Diätologen</w:t>
      </w:r>
      <w:proofErr w:type="spellEnd"/>
      <w:r w:rsidR="005E0976" w:rsidRPr="0027216C">
        <w:rPr>
          <w:color w:val="000000" w:themeColor="text1"/>
          <w:lang w:val="de-DE"/>
        </w:rPr>
        <w:t xml:space="preserve"> sowie</w:t>
      </w:r>
      <w:r w:rsidR="00266EF1" w:rsidRPr="0027216C">
        <w:rPr>
          <w:color w:val="000000" w:themeColor="text1"/>
          <w:lang w:val="de-DE"/>
        </w:rPr>
        <w:t xml:space="preserve"> Bandagistinnen</w:t>
      </w:r>
      <w:r w:rsidR="005E0976" w:rsidRPr="0027216C">
        <w:rPr>
          <w:color w:val="000000" w:themeColor="text1"/>
          <w:lang w:val="de-DE"/>
        </w:rPr>
        <w:t xml:space="preserve"> und Bandagisten</w:t>
      </w:r>
      <w:r w:rsidR="00266EF1" w:rsidRPr="0027216C">
        <w:rPr>
          <w:color w:val="000000" w:themeColor="text1"/>
          <w:lang w:val="de-DE"/>
        </w:rPr>
        <w:t>) können im Rahmen ihrer beruflichen Kompetenzen beratend tätig werden.</w:t>
      </w:r>
    </w:p>
    <w:p w14:paraId="46EECEF9" w14:textId="4982A7AD" w:rsidR="007E3FAA" w:rsidRPr="0027216C" w:rsidRDefault="00A42038" w:rsidP="00157E43">
      <w:pPr>
        <w:pStyle w:val="Liste1"/>
        <w:rPr>
          <w:lang w:val="de-DE"/>
        </w:rPr>
      </w:pPr>
      <w:r w:rsidRPr="0027216C">
        <w:rPr>
          <w:lang w:val="de-DE"/>
        </w:rPr>
        <w:t xml:space="preserve">Im </w:t>
      </w:r>
      <w:r w:rsidRPr="00157E43">
        <w:t>Rahmen</w:t>
      </w:r>
      <w:r w:rsidRPr="0027216C">
        <w:rPr>
          <w:lang w:val="de-DE"/>
        </w:rPr>
        <w:t xml:space="preserve"> der </w:t>
      </w:r>
      <w:r w:rsidRPr="00157E43">
        <w:rPr>
          <w:rFonts w:ascii="Segoe UI Semibold" w:hAnsi="Segoe UI Semibold" w:cs="Segoe UI Semibold"/>
          <w:lang w:val="de-DE"/>
        </w:rPr>
        <w:t>mobilen Wundversorgung</w:t>
      </w:r>
      <w:r w:rsidRPr="0027216C">
        <w:rPr>
          <w:lang w:val="de-DE"/>
        </w:rPr>
        <w:t xml:space="preserve"> durch Ärztinnen</w:t>
      </w:r>
      <w:r w:rsidR="004919AE" w:rsidRPr="0027216C">
        <w:rPr>
          <w:lang w:val="de-DE"/>
        </w:rPr>
        <w:t xml:space="preserve"> und Ärzte</w:t>
      </w:r>
      <w:r w:rsidRPr="0027216C">
        <w:rPr>
          <w:lang w:val="de-DE"/>
        </w:rPr>
        <w:t xml:space="preserve">, diplomierte </w:t>
      </w:r>
      <w:r w:rsidR="00BE1B2D">
        <w:rPr>
          <w:lang w:val="de-DE"/>
        </w:rPr>
        <w:br/>
      </w:r>
      <w:proofErr w:type="spellStart"/>
      <w:r w:rsidRPr="0027216C">
        <w:rPr>
          <w:lang w:val="de-DE"/>
        </w:rPr>
        <w:t>Gesundheits</w:t>
      </w:r>
      <w:proofErr w:type="spellEnd"/>
      <w:r w:rsidR="00083003" w:rsidRPr="0027216C">
        <w:rPr>
          <w:lang w:val="de-DE"/>
        </w:rPr>
        <w:noBreakHyphen/>
      </w:r>
      <w:r w:rsidRPr="0027216C">
        <w:rPr>
          <w:lang w:val="de-DE"/>
        </w:rPr>
        <w:t xml:space="preserve"> und </w:t>
      </w:r>
      <w:proofErr w:type="spellStart"/>
      <w:proofErr w:type="gramStart"/>
      <w:r w:rsidRPr="0027216C">
        <w:rPr>
          <w:lang w:val="de-DE"/>
        </w:rPr>
        <w:t>Krankenpfleger:innen</w:t>
      </w:r>
      <w:proofErr w:type="spellEnd"/>
      <w:proofErr w:type="gramEnd"/>
      <w:r w:rsidRPr="0027216C">
        <w:rPr>
          <w:lang w:val="de-DE"/>
        </w:rPr>
        <w:t>, Pflegefachassistentinnen</w:t>
      </w:r>
      <w:r w:rsidR="00C26E88" w:rsidRPr="0027216C">
        <w:rPr>
          <w:lang w:val="de-DE"/>
        </w:rPr>
        <w:t xml:space="preserve"> und</w:t>
      </w:r>
      <w:r w:rsidR="006D310E" w:rsidRPr="0027216C">
        <w:rPr>
          <w:lang w:val="de-DE"/>
        </w:rPr>
        <w:t xml:space="preserve"> </w:t>
      </w:r>
      <w:r w:rsidR="00083003" w:rsidRPr="0027216C">
        <w:rPr>
          <w:lang w:val="de-DE"/>
        </w:rPr>
        <w:noBreakHyphen/>
      </w:r>
      <w:proofErr w:type="spellStart"/>
      <w:r w:rsidR="00C26E88" w:rsidRPr="0027216C">
        <w:rPr>
          <w:lang w:val="de-DE"/>
        </w:rPr>
        <w:t>assistenten</w:t>
      </w:r>
      <w:proofErr w:type="spellEnd"/>
      <w:r w:rsidRPr="0027216C">
        <w:rPr>
          <w:lang w:val="de-DE"/>
        </w:rPr>
        <w:t xml:space="preserve"> sowie im Rahmen einer Laienversorgung (z. B. durch Angehörige) können betroffene Patientinnen </w:t>
      </w:r>
      <w:r w:rsidR="00763564" w:rsidRPr="0027216C">
        <w:rPr>
          <w:lang w:val="de-DE"/>
        </w:rPr>
        <w:t xml:space="preserve">und Patienten </w:t>
      </w:r>
      <w:r w:rsidRPr="0027216C">
        <w:rPr>
          <w:lang w:val="de-DE"/>
        </w:rPr>
        <w:t>zu Hause oder in Alten‐ und Pflegeheimen versorgt werden.</w:t>
      </w:r>
    </w:p>
    <w:p w14:paraId="5286F3B5" w14:textId="69BC14C1" w:rsidR="007E3FAA" w:rsidRPr="0027216C" w:rsidRDefault="00A42038" w:rsidP="00157E43">
      <w:pPr>
        <w:pStyle w:val="Liste1"/>
        <w:rPr>
          <w:lang w:val="de-DE"/>
        </w:rPr>
      </w:pPr>
      <w:r w:rsidRPr="0027216C">
        <w:rPr>
          <w:lang w:val="de-DE"/>
        </w:rPr>
        <w:t xml:space="preserve">Im </w:t>
      </w:r>
      <w:r w:rsidRPr="00157E43">
        <w:t>Rahmen</w:t>
      </w:r>
      <w:r w:rsidRPr="0027216C">
        <w:rPr>
          <w:lang w:val="de-DE"/>
        </w:rPr>
        <w:t xml:space="preserve"> der </w:t>
      </w:r>
      <w:r w:rsidRPr="00157E43">
        <w:rPr>
          <w:rFonts w:ascii="Segoe UI Semibold" w:hAnsi="Segoe UI Semibold" w:cs="Segoe UI Semibold"/>
          <w:lang w:val="de-DE"/>
        </w:rPr>
        <w:t>ambulanten Fachversorgung</w:t>
      </w:r>
      <w:r w:rsidRPr="0027216C">
        <w:rPr>
          <w:lang w:val="de-DE"/>
        </w:rPr>
        <w:t xml:space="preserve"> stehen niedergelassene Fachärztinnen</w:t>
      </w:r>
      <w:r w:rsidR="00B65CF4" w:rsidRPr="0027216C">
        <w:rPr>
          <w:lang w:val="de-DE"/>
        </w:rPr>
        <w:t xml:space="preserve"> un</w:t>
      </w:r>
      <w:r w:rsidR="00083003" w:rsidRPr="0027216C">
        <w:rPr>
          <w:lang w:val="de-DE"/>
        </w:rPr>
        <w:t xml:space="preserve">d </w:t>
      </w:r>
      <w:r w:rsidR="00BE1B2D">
        <w:rPr>
          <w:lang w:val="de-DE"/>
        </w:rPr>
        <w:t>Fach</w:t>
      </w:r>
      <w:r w:rsidR="00B65CF4" w:rsidRPr="0027216C">
        <w:rPr>
          <w:lang w:val="de-DE"/>
        </w:rPr>
        <w:t>ärzte</w:t>
      </w:r>
      <w:r w:rsidRPr="0027216C">
        <w:rPr>
          <w:lang w:val="de-DE"/>
        </w:rPr>
        <w:t xml:space="preserve"> mehrerer Fachrichtungen (u. a. Chirurgie, </w:t>
      </w:r>
      <w:r w:rsidR="00BE1B2D">
        <w:rPr>
          <w:lang w:val="de-DE"/>
        </w:rPr>
        <w:t>I</w:t>
      </w:r>
      <w:r w:rsidRPr="0027216C">
        <w:rPr>
          <w:lang w:val="de-DE"/>
        </w:rPr>
        <w:t>nnere Medizin, Dermatologie) sowie spezialisierte Wundambulanzen (Spitalsambulanzen) zur Verfügung.</w:t>
      </w:r>
    </w:p>
    <w:p w14:paraId="1E404B03" w14:textId="27697DCB" w:rsidR="007E3FAA" w:rsidRPr="0027216C" w:rsidRDefault="00A42038" w:rsidP="00157E43">
      <w:pPr>
        <w:pStyle w:val="Liste1"/>
        <w:rPr>
          <w:lang w:val="de-DE"/>
        </w:rPr>
      </w:pPr>
      <w:r w:rsidRPr="00157E43">
        <w:rPr>
          <w:rFonts w:ascii="Segoe UI Semibold" w:hAnsi="Segoe UI Semibold" w:cs="Segoe UI Semibold"/>
          <w:lang w:val="de-DE"/>
        </w:rPr>
        <w:t>Wundzentren</w:t>
      </w:r>
      <w:r w:rsidRPr="0027216C">
        <w:rPr>
          <w:lang w:val="de-DE"/>
        </w:rPr>
        <w:t xml:space="preserve"> können speziell für Patientinnen</w:t>
      </w:r>
      <w:r w:rsidR="00476F32" w:rsidRPr="0027216C">
        <w:rPr>
          <w:lang w:val="de-DE"/>
        </w:rPr>
        <w:t xml:space="preserve"> und Patienten</w:t>
      </w:r>
      <w:r w:rsidRPr="0027216C">
        <w:rPr>
          <w:lang w:val="de-DE"/>
        </w:rPr>
        <w:t xml:space="preserve"> mit chronischen Wunden </w:t>
      </w:r>
      <w:r w:rsidRPr="00157E43">
        <w:t>eine</w:t>
      </w:r>
      <w:r w:rsidRPr="0027216C">
        <w:rPr>
          <w:lang w:val="de-DE"/>
        </w:rPr>
        <w:t xml:space="preserve"> adäquate inter</w:t>
      </w:r>
      <w:r w:rsidR="00390760" w:rsidRPr="0027216C">
        <w:rPr>
          <w:lang w:val="de-DE"/>
        </w:rPr>
        <w:t>professionelle</w:t>
      </w:r>
      <w:r w:rsidRPr="0027216C">
        <w:rPr>
          <w:lang w:val="de-DE"/>
        </w:rPr>
        <w:t xml:space="preserve"> Betreuung anbieten.</w:t>
      </w:r>
    </w:p>
    <w:p w14:paraId="238A66EB" w14:textId="0AB146B8" w:rsidR="007E3FAA" w:rsidRPr="0027216C" w:rsidRDefault="00A42038" w:rsidP="00157E43">
      <w:pPr>
        <w:pStyle w:val="Liste1"/>
        <w:rPr>
          <w:lang w:val="de-DE"/>
        </w:rPr>
      </w:pPr>
      <w:r w:rsidRPr="0027216C">
        <w:rPr>
          <w:lang w:val="de-DE"/>
        </w:rPr>
        <w:t xml:space="preserve">Und </w:t>
      </w:r>
      <w:r w:rsidRPr="00157E43">
        <w:t>auch</w:t>
      </w:r>
      <w:r w:rsidRPr="0027216C">
        <w:rPr>
          <w:lang w:val="de-DE"/>
        </w:rPr>
        <w:t xml:space="preserve"> im Rahmen der </w:t>
      </w:r>
      <w:r w:rsidRPr="00157E43">
        <w:rPr>
          <w:rFonts w:ascii="Segoe UI Semibold" w:hAnsi="Segoe UI Semibold" w:cs="Segoe UI Semibold"/>
          <w:lang w:val="de-DE"/>
        </w:rPr>
        <w:t>stationären Versorgung inklusive Tageskliniken</w:t>
      </w:r>
      <w:r w:rsidRPr="0027216C">
        <w:rPr>
          <w:lang w:val="de-DE"/>
        </w:rPr>
        <w:t xml:space="preserve"> werden die </w:t>
      </w:r>
      <w:r w:rsidR="00BE1B2D">
        <w:rPr>
          <w:lang w:val="de-DE"/>
        </w:rPr>
        <w:br/>
      </w:r>
      <w:r w:rsidRPr="0027216C">
        <w:rPr>
          <w:lang w:val="de-DE"/>
        </w:rPr>
        <w:t>betroffenen Patientinnen</w:t>
      </w:r>
      <w:r w:rsidR="006C322C" w:rsidRPr="0027216C">
        <w:rPr>
          <w:lang w:val="de-DE"/>
        </w:rPr>
        <w:t xml:space="preserve"> und Patienten</w:t>
      </w:r>
      <w:r w:rsidRPr="0027216C">
        <w:rPr>
          <w:lang w:val="de-DE"/>
        </w:rPr>
        <w:t xml:space="preserve"> durch Fachexpertinnen</w:t>
      </w:r>
      <w:r w:rsidR="00390760" w:rsidRPr="0027216C">
        <w:rPr>
          <w:lang w:val="de-DE"/>
        </w:rPr>
        <w:t xml:space="preserve"> </w:t>
      </w:r>
      <w:r w:rsidR="00083003" w:rsidRPr="0027216C">
        <w:rPr>
          <w:lang w:val="de-DE"/>
        </w:rPr>
        <w:t xml:space="preserve">und </w:t>
      </w:r>
      <w:r w:rsidR="00BE1B2D">
        <w:rPr>
          <w:lang w:val="de-DE"/>
        </w:rPr>
        <w:t>Fach</w:t>
      </w:r>
      <w:r w:rsidR="00083003" w:rsidRPr="0027216C">
        <w:rPr>
          <w:lang w:val="de-DE"/>
        </w:rPr>
        <w:t xml:space="preserve">experten </w:t>
      </w:r>
      <w:r w:rsidR="00390760" w:rsidRPr="0027216C">
        <w:rPr>
          <w:lang w:val="de-DE"/>
        </w:rPr>
        <w:t>interprofessionell</w:t>
      </w:r>
      <w:r w:rsidRPr="0027216C">
        <w:rPr>
          <w:lang w:val="de-DE"/>
        </w:rPr>
        <w:t xml:space="preserve"> </w:t>
      </w:r>
      <w:proofErr w:type="spellStart"/>
      <w:r w:rsidRPr="0027216C">
        <w:rPr>
          <w:lang w:val="de-DE"/>
        </w:rPr>
        <w:t>behandel</w:t>
      </w:r>
      <w:proofErr w:type="spellEnd"/>
      <w:r w:rsidRPr="0027216C">
        <w:t>t.</w:t>
      </w:r>
    </w:p>
    <w:p w14:paraId="0F9AFB06" w14:textId="77777777" w:rsidR="007E3FAA" w:rsidRPr="0027216C" w:rsidRDefault="00A42038">
      <w:pPr>
        <w:pStyle w:val="berschrift2"/>
        <w:rPr>
          <w:lang w:val="de-DE"/>
        </w:rPr>
      </w:pPr>
      <w:bookmarkStart w:id="46" w:name="_Toc123978055"/>
      <w:bookmarkStart w:id="47" w:name="_Toc211342056"/>
      <w:r w:rsidRPr="0027216C">
        <w:rPr>
          <w:lang w:val="de-DE"/>
        </w:rPr>
        <w:t>Fehlende Leitlinie und Versorgungspfad in Österreich</w:t>
      </w:r>
      <w:bookmarkEnd w:id="46"/>
      <w:bookmarkEnd w:id="47"/>
    </w:p>
    <w:p w14:paraId="479CCAC1" w14:textId="3FC5CC70" w:rsidR="007E3FAA" w:rsidRPr="0027216C" w:rsidRDefault="00A42038">
      <w:pPr>
        <w:pStyle w:val="Standard0"/>
        <w:rPr>
          <w:lang w:val="de-DE"/>
        </w:rPr>
      </w:pPr>
      <w:r w:rsidRPr="0027216C">
        <w:rPr>
          <w:spacing w:val="-2"/>
        </w:rPr>
        <w:t>Zum Zeitpunkt der Erstellung dieses QS ist in Österreich keine bundesweit gültige klinische Leitlinie zur Diagnose, Therapie und/oder</w:t>
      </w:r>
      <w:r w:rsidRPr="0027216C">
        <w:t xml:space="preserve"> Prävention chronischer Wunden veröffentlicht.</w:t>
      </w:r>
      <w:r w:rsidRPr="0027216C">
        <w:rPr>
          <w:lang w:val="de-DE"/>
        </w:rPr>
        <w:t xml:space="preserve"> </w:t>
      </w:r>
      <w:r w:rsidRPr="0027216C">
        <w:rPr>
          <w:rStyle w:val="Standard0Zchn"/>
        </w:rPr>
        <w:t>Zwar gibt es Leitfäden, Behandlungsalgorithmen, Empfehlungen und ähnliche</w:t>
      </w:r>
      <w:r w:rsidRPr="0027216C">
        <w:rPr>
          <w:lang w:val="de-DE"/>
        </w:rPr>
        <w:t xml:space="preserve"> Dokumente</w:t>
      </w:r>
      <w:r w:rsidRPr="0027216C">
        <w:rPr>
          <w:rStyle w:val="Standard0Zchn"/>
        </w:rPr>
        <w:t xml:space="preserve"> für den </w:t>
      </w:r>
      <w:proofErr w:type="spellStart"/>
      <w:r w:rsidRPr="0027216C">
        <w:rPr>
          <w:rStyle w:val="Standard0Zchn"/>
        </w:rPr>
        <w:t>intra</w:t>
      </w:r>
      <w:proofErr w:type="spellEnd"/>
      <w:r w:rsidRPr="0027216C">
        <w:rPr>
          <w:rStyle w:val="Standard0Zchn"/>
        </w:rPr>
        <w:t>‐ und extramuralen Bereich</w:t>
      </w:r>
      <w:r w:rsidRPr="0027216C">
        <w:rPr>
          <w:lang w:val="de-DE"/>
        </w:rPr>
        <w:t>, die von einzelnen Einrichtungen und Organisationen (z. B. Krankenhausabteilungen, Selbsthilfegruppen/Wundvereinen, einzelnen Berufsgruppen, Fachgesellschaften, Ausbildungseinrichtungen) für die jeweils eigene Anwendung erstellt w</w:t>
      </w:r>
      <w:r w:rsidR="005B715B">
        <w:rPr>
          <w:lang w:val="de-DE"/>
        </w:rPr>
        <w:t>o</w:t>
      </w:r>
      <w:r w:rsidRPr="0027216C">
        <w:rPr>
          <w:lang w:val="de-DE"/>
        </w:rPr>
        <w:t>rden</w:t>
      </w:r>
      <w:r w:rsidR="005B715B">
        <w:rPr>
          <w:lang w:val="de-DE"/>
        </w:rPr>
        <w:t xml:space="preserve"> sind</w:t>
      </w:r>
      <w:r w:rsidRPr="0027216C">
        <w:rPr>
          <w:lang w:val="de-DE"/>
        </w:rPr>
        <w:t xml:space="preserve">. </w:t>
      </w:r>
      <w:r w:rsidRPr="0027216C">
        <w:t xml:space="preserve">Ein bundesweiter, </w:t>
      </w:r>
      <w:r w:rsidRPr="0027216C">
        <w:rPr>
          <w:lang w:val="de-DE"/>
        </w:rPr>
        <w:t>bereichsübergreifender</w:t>
      </w:r>
      <w:r w:rsidRPr="0027216C">
        <w:t xml:space="preserve"> Standard oder Versorgungspfad für Patientinnen </w:t>
      </w:r>
      <w:r w:rsidR="00570BF1" w:rsidRPr="0027216C">
        <w:t xml:space="preserve">und Patienten </w:t>
      </w:r>
      <w:r w:rsidRPr="0027216C">
        <w:t>mit chronischen Wunden liegt in Österreich bisher jedoch nicht vor.</w:t>
      </w:r>
    </w:p>
    <w:p w14:paraId="651B2314" w14:textId="18297B78" w:rsidR="007E3FAA" w:rsidRPr="0027216C" w:rsidRDefault="00A42038">
      <w:pPr>
        <w:pStyle w:val="berschrift2"/>
      </w:pPr>
      <w:bookmarkStart w:id="48" w:name="_Toc10468106"/>
      <w:bookmarkStart w:id="49" w:name="_Toc159827594"/>
      <w:bookmarkStart w:id="50" w:name="_Toc211342057"/>
      <w:bookmarkEnd w:id="40"/>
      <w:r w:rsidRPr="0027216C">
        <w:t>Spezifische Adressatinnen</w:t>
      </w:r>
      <w:bookmarkEnd w:id="48"/>
      <w:bookmarkEnd w:id="49"/>
      <w:r w:rsidR="00382E9C">
        <w:t xml:space="preserve"> und Adressaten</w:t>
      </w:r>
      <w:bookmarkEnd w:id="50"/>
    </w:p>
    <w:p w14:paraId="5D1DB5B8" w14:textId="77777777" w:rsidR="007E3FAA" w:rsidRPr="0027216C" w:rsidRDefault="00A42038">
      <w:pPr>
        <w:pStyle w:val="Standard0"/>
      </w:pPr>
      <w:r w:rsidRPr="0027216C">
        <w:t xml:space="preserve">Der QS richtet sich als </w:t>
      </w:r>
      <w:proofErr w:type="spellStart"/>
      <w:r w:rsidRPr="0027216C">
        <w:t>Handlungs</w:t>
      </w:r>
      <w:proofErr w:type="spellEnd"/>
      <w:r w:rsidRPr="0027216C">
        <w:t>‐ und Entscheidungshilfe an</w:t>
      </w:r>
    </w:p>
    <w:p w14:paraId="57D12C8F" w14:textId="4E4EA9CE" w:rsidR="007E3FAA" w:rsidRPr="0027216C" w:rsidRDefault="00A42038" w:rsidP="00755ABB">
      <w:pPr>
        <w:pStyle w:val="Liste1"/>
      </w:pPr>
      <w:r w:rsidRPr="0027216C">
        <w:t>sämtliche GDA, die in die Versorgung von Patientinnen</w:t>
      </w:r>
      <w:r w:rsidR="00382E9C">
        <w:t xml:space="preserve"> und Patienten</w:t>
      </w:r>
      <w:r w:rsidRPr="0027216C">
        <w:t xml:space="preserve">, die chronische </w:t>
      </w:r>
      <w:r w:rsidR="005B715B">
        <w:br/>
      </w:r>
      <w:r w:rsidRPr="0027216C">
        <w:t>Wunden aufweisen, involviert sind,</w:t>
      </w:r>
    </w:p>
    <w:p w14:paraId="0EA74630" w14:textId="068E683D" w:rsidR="007E3FAA" w:rsidRPr="0027216C" w:rsidRDefault="00A42038" w:rsidP="00755ABB">
      <w:pPr>
        <w:pStyle w:val="Liste1"/>
      </w:pPr>
      <w:r w:rsidRPr="0027216C">
        <w:t>Wundpatientinnen</w:t>
      </w:r>
      <w:r w:rsidR="00382E9C">
        <w:t xml:space="preserve"> und -patienten</w:t>
      </w:r>
      <w:r w:rsidRPr="0027216C">
        <w:t xml:space="preserve"> bzw. </w:t>
      </w:r>
      <w:r w:rsidR="00382E9C" w:rsidRPr="00382E9C">
        <w:t xml:space="preserve">Patientinnen und Patienten </w:t>
      </w:r>
      <w:r w:rsidRPr="0027216C">
        <w:t xml:space="preserve">mit erhöhtem Risiko </w:t>
      </w:r>
      <w:r w:rsidR="00561AB8">
        <w:br/>
      </w:r>
      <w:r w:rsidRPr="0027216C">
        <w:t>für die Entwicklung chronischer Wunden</w:t>
      </w:r>
      <w:r w:rsidR="005B715B">
        <w:t xml:space="preserve"> und</w:t>
      </w:r>
    </w:p>
    <w:p w14:paraId="423C69EB" w14:textId="1D543C29" w:rsidR="007E3FAA" w:rsidRPr="0027216C" w:rsidRDefault="00A42038" w:rsidP="00755ABB">
      <w:pPr>
        <w:pStyle w:val="Liste1"/>
      </w:pPr>
      <w:r w:rsidRPr="0027216C">
        <w:t>betreuende Personen und Angehörige von Wundpatientinnen</w:t>
      </w:r>
      <w:r w:rsidR="00382E9C">
        <w:t xml:space="preserve"> und -patienten</w:t>
      </w:r>
      <w:r w:rsidRPr="0027216C">
        <w:t>.</w:t>
      </w:r>
    </w:p>
    <w:p w14:paraId="22B824FB" w14:textId="2E160566" w:rsidR="007E3FAA" w:rsidRPr="0027216C" w:rsidRDefault="00A42038">
      <w:pPr>
        <w:pStyle w:val="berschrift2"/>
      </w:pPr>
      <w:bookmarkStart w:id="51" w:name="_Toc10468107"/>
      <w:bookmarkStart w:id="52" w:name="_Toc159827595"/>
      <w:bookmarkStart w:id="53" w:name="_Toc211342058"/>
      <w:r w:rsidRPr="0027216C">
        <w:lastRenderedPageBreak/>
        <w:t>Ziel</w:t>
      </w:r>
      <w:bookmarkEnd w:id="51"/>
      <w:r w:rsidRPr="0027216C">
        <w:t xml:space="preserve"> des QS I</w:t>
      </w:r>
      <w:r w:rsidR="005B715B">
        <w:t xml:space="preserve">ntegrierte </w:t>
      </w:r>
      <w:r w:rsidRPr="0027216C">
        <w:t>V</w:t>
      </w:r>
      <w:r w:rsidR="005B715B">
        <w:t>ersorgung</w:t>
      </w:r>
      <w:r w:rsidRPr="0027216C">
        <w:t xml:space="preserve"> </w:t>
      </w:r>
      <w:bookmarkEnd w:id="52"/>
      <w:r w:rsidR="002B29A5">
        <w:t>C</w:t>
      </w:r>
      <w:r w:rsidRPr="0027216C">
        <w:t>hronische Wunden</w:t>
      </w:r>
      <w:bookmarkEnd w:id="53"/>
    </w:p>
    <w:p w14:paraId="0D6F650A" w14:textId="225981D9" w:rsidR="007E3FAA" w:rsidRPr="0027216C" w:rsidRDefault="00A42038">
      <w:pPr>
        <w:pStyle w:val="Standard0"/>
      </w:pPr>
      <w:r w:rsidRPr="0027216C">
        <w:t xml:space="preserve">Das übergeordnete Ziel des vorliegenden QS ist, die Versorgungsqualität und die Sicherheit von </w:t>
      </w:r>
      <w:r w:rsidR="001D27BC" w:rsidRPr="001D27BC">
        <w:t xml:space="preserve">Patientinnen und Patienten </w:t>
      </w:r>
      <w:r w:rsidRPr="0027216C">
        <w:t>mit chronischen Wunden im Sinne einer integrierten Versorgung zu erhöhen sowie die beteiligten GDA beim Management chronischer Wunden zu unterstützen. Die Umsetzung der bundesweiten Empfehlungen des QS erfolgt auf Basis der regionalen strukturellen Gegebenheiten.</w:t>
      </w:r>
    </w:p>
    <w:p w14:paraId="0583D86C" w14:textId="71B67A4E" w:rsidR="007E3FAA" w:rsidRPr="0027216C" w:rsidRDefault="00A42038">
      <w:pPr>
        <w:pStyle w:val="berschrift2"/>
      </w:pPr>
      <w:bookmarkStart w:id="54" w:name="_Toc159827596"/>
      <w:bookmarkStart w:id="55" w:name="_Toc211342059"/>
      <w:r w:rsidRPr="0027216C">
        <w:t>Nicht</w:t>
      </w:r>
      <w:r w:rsidR="005B715B">
        <w:t>z</w:t>
      </w:r>
      <w:r w:rsidRPr="0027216C">
        <w:t>iele</w:t>
      </w:r>
      <w:bookmarkEnd w:id="54"/>
      <w:bookmarkEnd w:id="55"/>
    </w:p>
    <w:p w14:paraId="2E126C05" w14:textId="611075DC" w:rsidR="007E3FAA" w:rsidRPr="0027216C" w:rsidRDefault="00A42038">
      <w:r w:rsidRPr="0027216C">
        <w:t>Nicht</w:t>
      </w:r>
      <w:r w:rsidR="005B715B">
        <w:t>z</w:t>
      </w:r>
      <w:r w:rsidRPr="0027216C">
        <w:t>iele des QS sind Empfehlungen</w:t>
      </w:r>
    </w:p>
    <w:p w14:paraId="13C6CBEB" w14:textId="25C1756F" w:rsidR="007E3FAA" w:rsidRPr="0027216C" w:rsidRDefault="00A42038" w:rsidP="00755ABB">
      <w:pPr>
        <w:pStyle w:val="Liste1"/>
      </w:pPr>
      <w:r w:rsidRPr="0027216C">
        <w:t>zur Vergütung von GDA (Honorierung) im Rahmen der Versorgung von</w:t>
      </w:r>
      <w:r w:rsidR="001D27BC">
        <w:t xml:space="preserve"> </w:t>
      </w:r>
      <w:r w:rsidR="001D27BC" w:rsidRPr="001D27BC">
        <w:t>Patientinnen und Patienten</w:t>
      </w:r>
      <w:r w:rsidRPr="0027216C">
        <w:t xml:space="preserve"> mit chronische</w:t>
      </w:r>
      <w:r w:rsidR="005B715B">
        <w:t>n</w:t>
      </w:r>
      <w:r w:rsidRPr="0027216C">
        <w:t xml:space="preserve"> Wunden</w:t>
      </w:r>
      <w:r w:rsidR="005B715B">
        <w:t>,</w:t>
      </w:r>
    </w:p>
    <w:p w14:paraId="17CF0922" w14:textId="68B93F62" w:rsidR="00D00CA1" w:rsidRPr="0027216C" w:rsidRDefault="00D00CA1" w:rsidP="00755ABB">
      <w:pPr>
        <w:pStyle w:val="Liste1"/>
      </w:pPr>
      <w:r w:rsidRPr="0027216C">
        <w:t>zu Personalressourcen zur Versorgung chronischer Wunden</w:t>
      </w:r>
      <w:r w:rsidR="005B715B">
        <w:t>,</w:t>
      </w:r>
    </w:p>
    <w:p w14:paraId="4C89B084" w14:textId="1EEC9C6E" w:rsidR="007E3FAA" w:rsidRPr="0027216C" w:rsidRDefault="00A42038" w:rsidP="00755ABB">
      <w:pPr>
        <w:pStyle w:val="Liste1"/>
      </w:pPr>
      <w:r w:rsidRPr="0027216C">
        <w:t>zu einzelnen Produkten im Rahmen der Versorgung chronischer Wunden</w:t>
      </w:r>
      <w:r w:rsidR="005B715B">
        <w:t>,</w:t>
      </w:r>
    </w:p>
    <w:p w14:paraId="5CB1ED85" w14:textId="3A1E04B1" w:rsidR="007E3FAA" w:rsidRPr="0027216C" w:rsidRDefault="00A42038" w:rsidP="00755ABB">
      <w:pPr>
        <w:pStyle w:val="Liste1"/>
      </w:pPr>
      <w:r w:rsidRPr="0027216C">
        <w:t>zum „</w:t>
      </w:r>
      <w:proofErr w:type="spellStart"/>
      <w:r w:rsidRPr="0027216C">
        <w:t>best</w:t>
      </w:r>
      <w:proofErr w:type="spellEnd"/>
      <w:r w:rsidRPr="0027216C">
        <w:t xml:space="preserve"> </w:t>
      </w:r>
      <w:proofErr w:type="spellStart"/>
      <w:r w:rsidRPr="0027216C">
        <w:t>point</w:t>
      </w:r>
      <w:proofErr w:type="spellEnd"/>
      <w:r w:rsidRPr="0027216C">
        <w:t xml:space="preserve"> </w:t>
      </w:r>
      <w:proofErr w:type="spellStart"/>
      <w:r w:rsidRPr="0027216C">
        <w:t>of</w:t>
      </w:r>
      <w:proofErr w:type="spellEnd"/>
      <w:r w:rsidRPr="0027216C">
        <w:t xml:space="preserve"> </w:t>
      </w:r>
      <w:proofErr w:type="spellStart"/>
      <w:r w:rsidRPr="0027216C">
        <w:t>service</w:t>
      </w:r>
      <w:proofErr w:type="spellEnd"/>
      <w:r w:rsidRPr="0027216C">
        <w:t>“ für die Diagnostik und Therapie zugrunde liegender Erkrankungen wie Diabetes mellitus, pAVK, CVI.</w:t>
      </w:r>
    </w:p>
    <w:p w14:paraId="30F1F6E3" w14:textId="77777777" w:rsidR="007E3FAA" w:rsidRPr="0027216C" w:rsidRDefault="00A42038">
      <w:pPr>
        <w:pStyle w:val="berschrift2"/>
      </w:pPr>
      <w:bookmarkStart w:id="56" w:name="_Toc10468108"/>
      <w:bookmarkStart w:id="57" w:name="_Toc159827597"/>
      <w:bookmarkStart w:id="58" w:name="_Toc211342060"/>
      <w:r w:rsidRPr="0027216C">
        <w:t>Potenzieller Nutzen</w:t>
      </w:r>
      <w:bookmarkEnd w:id="56"/>
      <w:bookmarkEnd w:id="57"/>
      <w:r w:rsidRPr="0027216C">
        <w:t xml:space="preserve"> des QS</w:t>
      </w:r>
      <w:bookmarkEnd w:id="58"/>
    </w:p>
    <w:p w14:paraId="4D9927B3" w14:textId="3C4B649B" w:rsidR="007E3FAA" w:rsidRPr="0027216C" w:rsidRDefault="00A42038" w:rsidP="00755ABB">
      <w:pPr>
        <w:pStyle w:val="Liste1"/>
      </w:pPr>
      <w:r w:rsidRPr="0027216C">
        <w:t xml:space="preserve">Unterstützung der GDA bei der evidenzbasierten Versorgung von </w:t>
      </w:r>
      <w:r w:rsidR="001D27BC" w:rsidRPr="001D27BC">
        <w:t xml:space="preserve">Patientinnen und Patienten </w:t>
      </w:r>
      <w:r w:rsidRPr="0027216C">
        <w:t>mit chronische</w:t>
      </w:r>
      <w:r w:rsidR="00386829">
        <w:t>n</w:t>
      </w:r>
      <w:r w:rsidRPr="0027216C">
        <w:t xml:space="preserve"> Wunden sowie bei der Qualitätssicherung des Wundmanagements</w:t>
      </w:r>
    </w:p>
    <w:p w14:paraId="0794D193" w14:textId="6107DFFC" w:rsidR="007E3FAA" w:rsidRPr="0027216C" w:rsidRDefault="00A42038" w:rsidP="00755ABB">
      <w:pPr>
        <w:pStyle w:val="Liste1"/>
      </w:pPr>
      <w:r w:rsidRPr="0027216C">
        <w:t xml:space="preserve">Steigerung der Versorgungsqualität und der Sicherheit von </w:t>
      </w:r>
      <w:r w:rsidR="001D27BC" w:rsidRPr="001D27BC">
        <w:t xml:space="preserve">Patientinnen und Patienten </w:t>
      </w:r>
      <w:r w:rsidRPr="0027216C">
        <w:t>mit chronischen Wunden</w:t>
      </w:r>
    </w:p>
    <w:p w14:paraId="7338BC2E" w14:textId="77777777" w:rsidR="007E3FAA" w:rsidRPr="0027216C" w:rsidRDefault="00A42038" w:rsidP="00755ABB">
      <w:pPr>
        <w:pStyle w:val="Liste1"/>
      </w:pPr>
      <w:r w:rsidRPr="0027216C">
        <w:t>Stärkung der Gesundheitskompetenz in der Bevölkerung zum Thema chronische Wunden</w:t>
      </w:r>
    </w:p>
    <w:p w14:paraId="03AA91FC" w14:textId="77777777" w:rsidR="007E3FAA" w:rsidRPr="0027216C" w:rsidRDefault="00A42038">
      <w:pPr>
        <w:pStyle w:val="berschrift1"/>
      </w:pPr>
      <w:bookmarkStart w:id="59" w:name="_Toc159827598"/>
      <w:bookmarkStart w:id="60" w:name="_Toc211342061"/>
      <w:bookmarkStart w:id="61" w:name="_Hlk73530833"/>
      <w:bookmarkStart w:id="62" w:name="_Hlk73530554"/>
      <w:r w:rsidRPr="0027216C">
        <w:lastRenderedPageBreak/>
        <w:t>Methode</w:t>
      </w:r>
      <w:bookmarkEnd w:id="59"/>
      <w:bookmarkEnd w:id="60"/>
    </w:p>
    <w:p w14:paraId="41AF11D1" w14:textId="6827E0C4" w:rsidR="007E3FAA" w:rsidRPr="0027216C" w:rsidRDefault="00A42038">
      <w:pPr>
        <w:pStyle w:val="Standard0"/>
        <w:rPr>
          <w:rFonts w:eastAsia="Times New Roman" w:cs="Times New Roman"/>
          <w:color w:val="000000" w:themeColor="text1"/>
        </w:rPr>
      </w:pPr>
      <w:r w:rsidRPr="0027216C">
        <w:rPr>
          <w:color w:val="000000" w:themeColor="text1"/>
        </w:rPr>
        <w:t xml:space="preserve">Die </w:t>
      </w:r>
      <w:r w:rsidRPr="0027216C">
        <w:rPr>
          <w:i/>
          <w:color w:val="000000" w:themeColor="text1"/>
        </w:rPr>
        <w:t xml:space="preserve">Methode zur Erstellung von Qualitätsstandards </w:t>
      </w:r>
      <w:r w:rsidRPr="0027216C">
        <w:rPr>
          <w:color w:val="000000" w:themeColor="text1"/>
        </w:rPr>
        <w:t>(Methodenhandbuch Version 3.0)</w:t>
      </w:r>
      <w:r w:rsidRPr="0027216C">
        <w:rPr>
          <w:i/>
          <w:color w:val="000000" w:themeColor="text1"/>
        </w:rPr>
        <w:t xml:space="preserve"> </w:t>
      </w:r>
      <w:r w:rsidRPr="0027216C">
        <w:rPr>
          <w:color w:val="000000" w:themeColor="text1"/>
        </w:rPr>
        <w:t>(BMS</w:t>
      </w:r>
      <w:r w:rsidR="00124D18" w:rsidRPr="0027216C">
        <w:rPr>
          <w:color w:val="000000" w:themeColor="text1"/>
        </w:rPr>
        <w:t>G</w:t>
      </w:r>
      <w:r w:rsidRPr="0027216C">
        <w:rPr>
          <w:color w:val="000000" w:themeColor="text1"/>
        </w:rPr>
        <w:t xml:space="preserve">PK 2024) bildet die methodische Grundlage für den vorliegenden Qualitätsstandard, der </w:t>
      </w:r>
      <w:r w:rsidRPr="0027216C">
        <w:rPr>
          <w:rFonts w:eastAsia="Times New Roman" w:cs="Times New Roman"/>
          <w:color w:val="000000" w:themeColor="text1"/>
        </w:rPr>
        <w:t>unter fachlicher Begleitung der Projektgruppe Qualitätsstandards und der</w:t>
      </w:r>
      <w:r w:rsidR="00B0146F" w:rsidRPr="0027216C">
        <w:rPr>
          <w:rFonts w:eastAsia="Times New Roman" w:cs="Times New Roman"/>
          <w:color w:val="000000" w:themeColor="text1"/>
        </w:rPr>
        <w:t xml:space="preserve"> Themengruppe Qualität (vormals</w:t>
      </w:r>
      <w:r w:rsidRPr="0027216C">
        <w:rPr>
          <w:rFonts w:eastAsia="Times New Roman" w:cs="Times New Roman"/>
          <w:color w:val="000000" w:themeColor="text1"/>
        </w:rPr>
        <w:t xml:space="preserve"> Fachgruppe Versorgungsprozesse</w:t>
      </w:r>
      <w:r w:rsidR="00B0146F" w:rsidRPr="0027216C">
        <w:rPr>
          <w:rFonts w:eastAsia="Times New Roman" w:cs="Times New Roman"/>
          <w:color w:val="000000" w:themeColor="text1"/>
        </w:rPr>
        <w:t>)</w:t>
      </w:r>
      <w:r w:rsidRPr="0027216C">
        <w:rPr>
          <w:rFonts w:eastAsia="Times New Roman" w:cs="Times New Roman"/>
          <w:color w:val="000000" w:themeColor="text1"/>
        </w:rPr>
        <w:t xml:space="preserve"> sowie mit Unterstützung der Gesundheit Österreich GmbH erstellt w</w:t>
      </w:r>
      <w:r w:rsidR="005A59F8">
        <w:rPr>
          <w:rFonts w:eastAsia="Times New Roman" w:cs="Times New Roman"/>
          <w:color w:val="000000" w:themeColor="text1"/>
        </w:rPr>
        <w:t>o</w:t>
      </w:r>
      <w:r w:rsidRPr="0027216C">
        <w:rPr>
          <w:rFonts w:eastAsia="Times New Roman" w:cs="Times New Roman"/>
          <w:color w:val="000000" w:themeColor="text1"/>
        </w:rPr>
        <w:t>rde</w:t>
      </w:r>
      <w:r w:rsidR="005A59F8">
        <w:rPr>
          <w:rFonts w:eastAsia="Times New Roman" w:cs="Times New Roman"/>
          <w:color w:val="000000" w:themeColor="text1"/>
        </w:rPr>
        <w:t>n ist</w:t>
      </w:r>
      <w:r w:rsidRPr="0027216C">
        <w:rPr>
          <w:rFonts w:eastAsia="Times New Roman" w:cs="Times New Roman"/>
          <w:color w:val="000000" w:themeColor="text1"/>
        </w:rPr>
        <w:t>.</w:t>
      </w:r>
    </w:p>
    <w:p w14:paraId="744B4B46" w14:textId="77777777" w:rsidR="007E3FAA" w:rsidRPr="0027216C" w:rsidRDefault="00A42038">
      <w:pPr>
        <w:pStyle w:val="berschrift2"/>
      </w:pPr>
      <w:bookmarkStart w:id="63" w:name="_Toc211342062"/>
      <w:bookmarkStart w:id="64" w:name="_Hlk73534853"/>
      <w:bookmarkStart w:id="65" w:name="_Hlk73022582"/>
      <w:r w:rsidRPr="0027216C">
        <w:t>Grundlagendokumente</w:t>
      </w:r>
      <w:bookmarkEnd w:id="63"/>
    </w:p>
    <w:bookmarkEnd w:id="64"/>
    <w:bookmarkEnd w:id="65"/>
    <w:p w14:paraId="0793C028" w14:textId="77B30D7C" w:rsidR="007E3FAA" w:rsidRPr="0027216C" w:rsidRDefault="00A42038">
      <w:pPr>
        <w:spacing w:before="120"/>
        <w:rPr>
          <w:rFonts w:eastAsia="Times New Roman" w:cs="Times New Roman"/>
          <w:color w:val="000000" w:themeColor="text1"/>
        </w:rPr>
      </w:pPr>
      <w:r w:rsidRPr="0027216C">
        <w:rPr>
          <w:rFonts w:eastAsia="Times New Roman" w:cs="Times New Roman"/>
          <w:color w:val="000000" w:themeColor="text1"/>
        </w:rPr>
        <w:t>Die medizinisch-inhaltliche Grundlage für den vorliegenden QS bilden ausgewählte klinische Leitlinien als sog</w:t>
      </w:r>
      <w:r w:rsidR="005A59F8">
        <w:rPr>
          <w:rFonts w:eastAsia="Times New Roman" w:cs="Times New Roman"/>
          <w:color w:val="000000" w:themeColor="text1"/>
        </w:rPr>
        <w:t>enannte</w:t>
      </w:r>
      <w:r w:rsidRPr="0027216C">
        <w:rPr>
          <w:rFonts w:eastAsia="Times New Roman" w:cs="Times New Roman"/>
          <w:color w:val="000000" w:themeColor="text1"/>
        </w:rPr>
        <w:t xml:space="preserve"> Grundlagendokumente.</w:t>
      </w:r>
    </w:p>
    <w:p w14:paraId="4A3F7E98" w14:textId="6E55B2CC" w:rsidR="007E3FAA" w:rsidRPr="0027216C" w:rsidRDefault="00A42038">
      <w:pPr>
        <w:rPr>
          <w:color w:val="000000" w:themeColor="text1"/>
        </w:rPr>
      </w:pPr>
      <w:r w:rsidRPr="0027216C">
        <w:rPr>
          <w:color w:val="000000" w:themeColor="text1"/>
        </w:rPr>
        <w:t xml:space="preserve">Der Prozess der Leitlinienauswahl (Suchstrategie, Ein- und Ausschlusskriterien, Bewertung der methodischen Qualität) ist der </w:t>
      </w:r>
      <w:r w:rsidRPr="0027216C">
        <w:rPr>
          <w:i/>
          <w:iCs/>
          <w:color w:val="000000" w:themeColor="text1"/>
        </w:rPr>
        <w:t xml:space="preserve">Kurzübersicht </w:t>
      </w:r>
      <w:r w:rsidRPr="0027216C">
        <w:rPr>
          <w:color w:val="000000" w:themeColor="text1"/>
        </w:rPr>
        <w:t xml:space="preserve">(BMSGPK 2022, </w:t>
      </w:r>
      <w:hyperlink r:id="rId29" w:history="1">
        <w:r w:rsidRPr="0027216C">
          <w:rPr>
            <w:rStyle w:val="Hyperlink"/>
          </w:rPr>
          <w:t>https://jasmin.goeg.at/id/eprint/2391/</w:t>
        </w:r>
      </w:hyperlink>
      <w:r w:rsidRPr="0027216C">
        <w:rPr>
          <w:color w:val="000000" w:themeColor="text1"/>
        </w:rPr>
        <w:t>) zu entnehmen, die im Rahmen der Vorarbeiten für diesen QS erstelltet w</w:t>
      </w:r>
      <w:r w:rsidR="00531EE5">
        <w:rPr>
          <w:color w:val="000000" w:themeColor="text1"/>
        </w:rPr>
        <w:t>o</w:t>
      </w:r>
      <w:r w:rsidRPr="0027216C">
        <w:rPr>
          <w:color w:val="000000" w:themeColor="text1"/>
        </w:rPr>
        <w:t>rde</w:t>
      </w:r>
      <w:r w:rsidR="00531EE5">
        <w:rPr>
          <w:color w:val="000000" w:themeColor="text1"/>
        </w:rPr>
        <w:t>n ist</w:t>
      </w:r>
      <w:r w:rsidRPr="0027216C">
        <w:rPr>
          <w:color w:val="000000" w:themeColor="text1"/>
        </w:rPr>
        <w:t xml:space="preserve">. Die Qualität der identifizierten Leitlinien wurde mittels </w:t>
      </w:r>
      <w:r w:rsidRPr="0027216C">
        <w:rPr>
          <w:color w:val="000000" w:themeColor="text1"/>
          <w:lang w:val="de-DE"/>
        </w:rPr>
        <w:t>AGREE II-Manual</w:t>
      </w:r>
      <w:r w:rsidRPr="0027216C">
        <w:rPr>
          <w:color w:val="000000" w:themeColor="text1"/>
        </w:rPr>
        <w:t xml:space="preserve"> (</w:t>
      </w:r>
      <w:proofErr w:type="spellStart"/>
      <w:r w:rsidRPr="0027216C">
        <w:rPr>
          <w:color w:val="000000" w:themeColor="text1"/>
        </w:rPr>
        <w:t>Browers</w:t>
      </w:r>
      <w:proofErr w:type="spellEnd"/>
      <w:r w:rsidRPr="0027216C">
        <w:rPr>
          <w:color w:val="000000" w:themeColor="text1"/>
        </w:rPr>
        <w:t xml:space="preserve"> 2010) bewertet.</w:t>
      </w:r>
    </w:p>
    <w:p w14:paraId="00E872AD" w14:textId="5E67BCAF" w:rsidR="007E3FAA" w:rsidRPr="0027216C" w:rsidRDefault="00A42038">
      <w:pPr>
        <w:spacing w:before="120"/>
        <w:rPr>
          <w:rFonts w:eastAsia="Times New Roman" w:cs="Times New Roman"/>
          <w:color w:val="000000" w:themeColor="text1"/>
        </w:rPr>
      </w:pPr>
      <w:r w:rsidRPr="0027216C">
        <w:rPr>
          <w:rFonts w:eastAsia="Times New Roman" w:cs="Times New Roman"/>
          <w:color w:val="000000" w:themeColor="text1"/>
        </w:rPr>
        <w:t xml:space="preserve">Im Dokument </w:t>
      </w:r>
      <w:r w:rsidRPr="0027216C">
        <w:rPr>
          <w:rFonts w:eastAsia="Times New Roman" w:cs="Times New Roman"/>
          <w:i/>
          <w:iCs/>
          <w:color w:val="000000" w:themeColor="text1"/>
        </w:rPr>
        <w:t>Kernelemente</w:t>
      </w:r>
      <w:r w:rsidRPr="0027216C">
        <w:rPr>
          <w:rFonts w:eastAsia="Times New Roman" w:cs="Times New Roman"/>
          <w:color w:val="000000" w:themeColor="text1"/>
        </w:rPr>
        <w:t xml:space="preserve"> (BMSGPK 2022, </w:t>
      </w:r>
      <w:hyperlink r:id="rId30" w:history="1">
        <w:r w:rsidRPr="0027216C">
          <w:rPr>
            <w:rStyle w:val="Hyperlink"/>
            <w:rFonts w:eastAsia="Times New Roman" w:cs="Times New Roman"/>
          </w:rPr>
          <w:t>https://jasmin.goeg.at/id/eprint/2390/</w:t>
        </w:r>
      </w:hyperlink>
      <w:r w:rsidRPr="0027216C">
        <w:rPr>
          <w:rFonts w:eastAsia="Times New Roman" w:cs="Times New Roman"/>
          <w:color w:val="000000" w:themeColor="text1"/>
        </w:rPr>
        <w:t xml:space="preserve">) wurde vorab von den Zielsteuerungsgremien festgelegt, für welche Bereiche der QS IV </w:t>
      </w:r>
      <w:r w:rsidR="00153C32">
        <w:t>C</w:t>
      </w:r>
      <w:r w:rsidRPr="0027216C">
        <w:t xml:space="preserve">hronische Wunden </w:t>
      </w:r>
      <w:r w:rsidRPr="0027216C">
        <w:rPr>
          <w:rFonts w:eastAsia="Times New Roman" w:cs="Times New Roman"/>
          <w:color w:val="000000" w:themeColor="text1"/>
        </w:rPr>
        <w:t>jedenfalls</w:t>
      </w:r>
      <w:r w:rsidRPr="0027216C">
        <w:t xml:space="preserve"> Empfehlungen</w:t>
      </w:r>
      <w:r w:rsidRPr="0027216C">
        <w:rPr>
          <w:b/>
          <w:bCs/>
        </w:rPr>
        <w:t xml:space="preserve"> </w:t>
      </w:r>
      <w:r w:rsidRPr="0027216C">
        <w:t>beinhalten soll.</w:t>
      </w:r>
    </w:p>
    <w:p w14:paraId="70840813" w14:textId="2DAE0160" w:rsidR="007E3FAA" w:rsidRPr="0027216C" w:rsidRDefault="00A42038">
      <w:bookmarkStart w:id="66" w:name="_Toc10468105"/>
      <w:r w:rsidRPr="0027216C">
        <w:t xml:space="preserve">Auf Basis der Bewertung der methodischen Qualität sowie unter Berücksichtigung der inhaltlichen Relevanz und der Anwendbarkeit im österreichischen Kontext wurden folgende Leitlinien als Grundlagendokumente für den vorliegenden QS </w:t>
      </w:r>
      <w:r w:rsidRPr="0027216C">
        <w:rPr>
          <w:color w:val="000000" w:themeColor="text1"/>
        </w:rPr>
        <w:t>durch die Gremien der Zielsteuerung</w:t>
      </w:r>
      <w:r w:rsidR="00531EE5">
        <w:rPr>
          <w:color w:val="000000" w:themeColor="text1"/>
        </w:rPr>
        <w:t>-</w:t>
      </w:r>
      <w:r w:rsidRPr="0027216C">
        <w:rPr>
          <w:color w:val="000000" w:themeColor="text1"/>
        </w:rPr>
        <w:t>Gesundheit</w:t>
      </w:r>
      <w:r w:rsidRPr="0027216C">
        <w:t xml:space="preserve"> festgelegt:</w:t>
      </w:r>
    </w:p>
    <w:p w14:paraId="1436A7B5" w14:textId="77777777" w:rsidR="007E3FAA" w:rsidRPr="0027216C" w:rsidRDefault="00A42038" w:rsidP="00AE5135">
      <w:pPr>
        <w:pStyle w:val="Liste1"/>
        <w:tabs>
          <w:tab w:val="clear" w:pos="284"/>
          <w:tab w:val="clear" w:pos="357"/>
        </w:tabs>
      </w:pPr>
      <w:bookmarkStart w:id="67" w:name="_Hlk179042090"/>
      <w:r w:rsidRPr="0027216C">
        <w:t>Deutsche Gesellschaft für Wundheilung und Wundbehandlung (AWMF 2023). S3‐Leitlinie Lokaltherapie chronischer Wunden bei Patienten mit den Risiken periphere arterielle Verschlusskrankheit, Diabetes mellitus, chronisch venöse Insuffizienz (kurz: AWMF 2023)</w:t>
      </w:r>
    </w:p>
    <w:p w14:paraId="0FCC91DD" w14:textId="77777777" w:rsidR="007E3FAA" w:rsidRPr="0027216C" w:rsidRDefault="00A42038" w:rsidP="00AE5135">
      <w:pPr>
        <w:pStyle w:val="Liste1"/>
        <w:tabs>
          <w:tab w:val="clear" w:pos="284"/>
          <w:tab w:val="clear" w:pos="357"/>
        </w:tabs>
      </w:pPr>
      <w:r w:rsidRPr="0027216C">
        <w:rPr>
          <w:lang w:val="en-US"/>
        </w:rPr>
        <w:t xml:space="preserve">European Pressure Ulcer Advisory Panel (EPUAP 2019). </w:t>
      </w:r>
      <w:r w:rsidRPr="0027216C">
        <w:t>Prävention und Behandlung von Dekubitus (deutschsprachige Fassung) (kurz: EPUAP 2019)</w:t>
      </w:r>
    </w:p>
    <w:p w14:paraId="36048D39" w14:textId="77777777" w:rsidR="007E3FAA" w:rsidRPr="0027216C" w:rsidRDefault="00A42038" w:rsidP="00AE5135">
      <w:pPr>
        <w:pStyle w:val="Liste1"/>
        <w:tabs>
          <w:tab w:val="clear" w:pos="284"/>
          <w:tab w:val="clear" w:pos="357"/>
        </w:tabs>
        <w:rPr>
          <w:lang w:val="en-AU"/>
        </w:rPr>
      </w:pPr>
      <w:r w:rsidRPr="0027216C">
        <w:rPr>
          <w:lang w:val="en-US"/>
        </w:rPr>
        <w:t xml:space="preserve">International Working Group on </w:t>
      </w:r>
      <w:proofErr w:type="gramStart"/>
      <w:r w:rsidRPr="0027216C">
        <w:rPr>
          <w:lang w:val="en-US"/>
        </w:rPr>
        <w:t>the Diabetic</w:t>
      </w:r>
      <w:proofErr w:type="gramEnd"/>
      <w:r w:rsidRPr="0027216C">
        <w:rPr>
          <w:lang w:val="en-US"/>
        </w:rPr>
        <w:t xml:space="preserve"> Foot (IWGDF 2023). </w:t>
      </w:r>
      <w:r w:rsidRPr="0027216C">
        <w:rPr>
          <w:lang w:val="en-AU"/>
        </w:rPr>
        <w:t>Practical guidelines on the prevention and management of diabetes-related foot disease (</w:t>
      </w:r>
      <w:proofErr w:type="spellStart"/>
      <w:r w:rsidRPr="0027216C">
        <w:rPr>
          <w:lang w:val="en-AU"/>
        </w:rPr>
        <w:t>kurz</w:t>
      </w:r>
      <w:proofErr w:type="spellEnd"/>
      <w:r w:rsidRPr="0027216C">
        <w:rPr>
          <w:lang w:val="en-AU"/>
        </w:rPr>
        <w:t>: IWGDF 2023)</w:t>
      </w:r>
    </w:p>
    <w:p w14:paraId="1684DFE1" w14:textId="77777777" w:rsidR="007E3FAA" w:rsidRPr="0027216C" w:rsidRDefault="00A42038">
      <w:pPr>
        <w:pStyle w:val="berschrift2"/>
      </w:pPr>
      <w:bookmarkStart w:id="68" w:name="_Toc211342063"/>
      <w:bookmarkEnd w:id="66"/>
      <w:bookmarkEnd w:id="67"/>
      <w:r w:rsidRPr="0027216C">
        <w:t>Erstellung der Empfehlungen</w:t>
      </w:r>
      <w:bookmarkEnd w:id="68"/>
    </w:p>
    <w:p w14:paraId="028D848C" w14:textId="24CD2D75" w:rsidR="007E3FAA" w:rsidRPr="0027216C" w:rsidRDefault="00A42038">
      <w:pPr>
        <w:spacing w:before="120"/>
        <w:rPr>
          <w:rFonts w:eastAsia="Times New Roman" w:cs="Times New Roman"/>
          <w:color w:val="000000" w:themeColor="text1"/>
        </w:rPr>
      </w:pPr>
      <w:r w:rsidRPr="0027216C">
        <w:rPr>
          <w:rFonts w:eastAsia="Times New Roman" w:cs="Times New Roman"/>
          <w:color w:val="000000" w:themeColor="text1"/>
        </w:rPr>
        <w:t>Die Empfehlungen im vorliegenden QS wurden von der Projektgruppe Qualitätsstandards in Abstimmung mit externen Expertinnen</w:t>
      </w:r>
      <w:r w:rsidR="001D27BC">
        <w:rPr>
          <w:rFonts w:eastAsia="Times New Roman" w:cs="Times New Roman"/>
          <w:color w:val="000000" w:themeColor="text1"/>
        </w:rPr>
        <w:t xml:space="preserve"> und Experten</w:t>
      </w:r>
      <w:r w:rsidRPr="0027216C">
        <w:rPr>
          <w:rFonts w:eastAsia="Times New Roman" w:cs="Times New Roman"/>
          <w:color w:val="000000" w:themeColor="text1"/>
        </w:rPr>
        <w:t xml:space="preserve"> (siehe internes und externes Review) auf Basis der festgelegten Grundlagendokumente für den österreichischen Kontext formuliert.</w:t>
      </w:r>
      <w:bookmarkEnd w:id="61"/>
    </w:p>
    <w:p w14:paraId="0A229F1E" w14:textId="77777777" w:rsidR="007E3FAA" w:rsidRPr="0027216C" w:rsidRDefault="00A42038">
      <w:pPr>
        <w:spacing w:before="120"/>
        <w:rPr>
          <w:rFonts w:eastAsia="Times New Roman" w:cs="Times New Roman"/>
          <w:color w:val="000000" w:themeColor="text1"/>
        </w:rPr>
      </w:pPr>
      <w:r w:rsidRPr="0027216C">
        <w:t>Die Umsetzung der Empfehlungen des QS soll auf Basis der regionalen strukturellen Gegebenheiten erfolgen.</w:t>
      </w:r>
    </w:p>
    <w:p w14:paraId="6D3EF47A" w14:textId="77777777" w:rsidR="007E3FAA" w:rsidRPr="0027216C" w:rsidRDefault="00A42038">
      <w:pPr>
        <w:pStyle w:val="berschrift2"/>
      </w:pPr>
      <w:bookmarkStart w:id="69" w:name="_Toc211342064"/>
      <w:r w:rsidRPr="0027216C">
        <w:lastRenderedPageBreak/>
        <w:t>Evidenzbasis und Evidenzstärke</w:t>
      </w:r>
      <w:bookmarkEnd w:id="69"/>
    </w:p>
    <w:p w14:paraId="2335CE18" w14:textId="654BB78B" w:rsidR="007E3FAA" w:rsidRPr="0027216C" w:rsidRDefault="00A42038">
      <w:pPr>
        <w:spacing w:before="120"/>
        <w:rPr>
          <w:rFonts w:eastAsia="Times New Roman" w:cs="Times New Roman"/>
          <w:color w:val="000000" w:themeColor="text1"/>
        </w:rPr>
      </w:pPr>
      <w:r w:rsidRPr="0027216C">
        <w:rPr>
          <w:rFonts w:eastAsia="Times New Roman" w:cs="Times New Roman"/>
          <w:color w:val="000000" w:themeColor="text1"/>
        </w:rPr>
        <w:t xml:space="preserve">Für jede Empfehlung im vorliegenden QS ist die Evidenzbasis angegeben. </w:t>
      </w:r>
      <w:r w:rsidRPr="0027216C">
        <w:rPr>
          <w:color w:val="000000" w:themeColor="text1"/>
        </w:rPr>
        <w:t>Hierfür wurden die entsprechenden Angaben zum Studientyp aus dem</w:t>
      </w:r>
      <w:r w:rsidR="00EE704F">
        <w:rPr>
          <w:color w:val="000000" w:themeColor="text1"/>
        </w:rPr>
        <w:t xml:space="preserve"> (</w:t>
      </w:r>
      <w:r w:rsidRPr="0027216C">
        <w:rPr>
          <w:color w:val="000000" w:themeColor="text1"/>
        </w:rPr>
        <w:t>den</w:t>
      </w:r>
      <w:r w:rsidR="00EE704F">
        <w:rPr>
          <w:color w:val="000000" w:themeColor="text1"/>
        </w:rPr>
        <w:t>)</w:t>
      </w:r>
      <w:r w:rsidRPr="0027216C">
        <w:rPr>
          <w:color w:val="000000" w:themeColor="text1"/>
        </w:rPr>
        <w:t xml:space="preserve"> Grundlagendokument</w:t>
      </w:r>
      <w:r w:rsidR="00EE704F">
        <w:rPr>
          <w:color w:val="000000" w:themeColor="text1"/>
        </w:rPr>
        <w:t>(</w:t>
      </w:r>
      <w:r w:rsidRPr="0027216C">
        <w:rPr>
          <w:color w:val="000000" w:themeColor="text1"/>
        </w:rPr>
        <w:t>en</w:t>
      </w:r>
      <w:r w:rsidR="00EE704F">
        <w:rPr>
          <w:color w:val="000000" w:themeColor="text1"/>
        </w:rPr>
        <w:t>)</w:t>
      </w:r>
      <w:r w:rsidRPr="0027216C">
        <w:rPr>
          <w:color w:val="000000" w:themeColor="text1"/>
        </w:rPr>
        <w:t xml:space="preserve"> übernommen (z. B. Leitlinienempfehlung auf Basis von systematischer Übersichtsarbeit, Interventionsstudie</w:t>
      </w:r>
      <w:r w:rsidR="00EE704F">
        <w:rPr>
          <w:color w:val="000000" w:themeColor="text1"/>
        </w:rPr>
        <w:t>(</w:t>
      </w:r>
      <w:r w:rsidRPr="0027216C">
        <w:rPr>
          <w:color w:val="000000" w:themeColor="text1"/>
        </w:rPr>
        <w:t>n</w:t>
      </w:r>
      <w:r w:rsidR="00EE704F">
        <w:rPr>
          <w:color w:val="000000" w:themeColor="text1"/>
        </w:rPr>
        <w:t>)</w:t>
      </w:r>
      <w:r w:rsidRPr="0027216C">
        <w:rPr>
          <w:color w:val="000000" w:themeColor="text1"/>
        </w:rPr>
        <w:t>, Beobachtungsstudie</w:t>
      </w:r>
      <w:r w:rsidR="00EE704F">
        <w:rPr>
          <w:color w:val="000000" w:themeColor="text1"/>
        </w:rPr>
        <w:t>(</w:t>
      </w:r>
      <w:r w:rsidRPr="0027216C">
        <w:rPr>
          <w:color w:val="000000" w:themeColor="text1"/>
        </w:rPr>
        <w:t>n</w:t>
      </w:r>
      <w:r w:rsidR="00EE704F">
        <w:rPr>
          <w:color w:val="000000" w:themeColor="text1"/>
        </w:rPr>
        <w:t>)</w:t>
      </w:r>
      <w:r w:rsidRPr="0027216C">
        <w:rPr>
          <w:color w:val="000000" w:themeColor="text1"/>
        </w:rPr>
        <w:t>, Expertenkonsens).</w:t>
      </w:r>
    </w:p>
    <w:p w14:paraId="62303AEB" w14:textId="052F9F23" w:rsidR="007E3FAA" w:rsidRPr="0027216C" w:rsidRDefault="00A42038">
      <w:pPr>
        <w:spacing w:before="120"/>
        <w:rPr>
          <w:rFonts w:eastAsia="Times New Roman" w:cs="Times New Roman"/>
          <w:color w:val="000000" w:themeColor="text1"/>
          <w:u w:val="single"/>
        </w:rPr>
      </w:pPr>
      <w:r w:rsidRPr="0027216C">
        <w:rPr>
          <w:rFonts w:eastAsia="Times New Roman"/>
        </w:rPr>
        <w:t>Bei fehlenden Angaben zur Evidenzbasis in den Grundlagendokumenten wurde eine selektive Suche nach systematischen Übersichtsarbeiten in den Datenbanken Cochrane Library (</w:t>
      </w:r>
      <w:hyperlink r:id="rId31" w:history="1">
        <w:r w:rsidRPr="0027216C">
          <w:rPr>
            <w:rStyle w:val="Hyperlink"/>
            <w:rFonts w:eastAsia="Times New Roman" w:cs="Times New Roman"/>
          </w:rPr>
          <w:t>cochranelibrary.com/</w:t>
        </w:r>
      </w:hyperlink>
      <w:r w:rsidRPr="0027216C">
        <w:rPr>
          <w:rFonts w:eastAsia="Times New Roman"/>
        </w:rPr>
        <w:t xml:space="preserve">), </w:t>
      </w:r>
      <w:r w:rsidR="00B41049" w:rsidRPr="0027216C">
        <w:rPr>
          <w:rFonts w:eastAsia="Times New Roman"/>
        </w:rPr>
        <w:t>T</w:t>
      </w:r>
      <w:r w:rsidR="00B41049">
        <w:rPr>
          <w:rFonts w:eastAsia="Times New Roman"/>
        </w:rPr>
        <w:t xml:space="preserve">rip </w:t>
      </w:r>
      <w:r w:rsidRPr="0027216C">
        <w:rPr>
          <w:rFonts w:eastAsia="Times New Roman"/>
        </w:rPr>
        <w:t>Database (</w:t>
      </w:r>
      <w:hyperlink r:id="rId32" w:history="1">
        <w:r w:rsidRPr="0027216C">
          <w:rPr>
            <w:rStyle w:val="Hyperlink"/>
            <w:rFonts w:eastAsia="Times New Roman" w:cs="Times New Roman"/>
          </w:rPr>
          <w:t>tripdatabase.com/</w:t>
        </w:r>
      </w:hyperlink>
      <w:r w:rsidRPr="0027216C">
        <w:rPr>
          <w:rFonts w:eastAsia="Times New Roman"/>
        </w:rPr>
        <w:t>) und PubMed (</w:t>
      </w:r>
      <w:hyperlink r:id="rId33" w:history="1">
        <w:r w:rsidRPr="0027216C">
          <w:rPr>
            <w:rStyle w:val="Hyperlink"/>
            <w:rFonts w:eastAsia="Times New Roman" w:cs="Times New Roman"/>
          </w:rPr>
          <w:t>ncbi.nlm.nih.gov/</w:t>
        </w:r>
        <w:proofErr w:type="spellStart"/>
        <w:r w:rsidRPr="0027216C">
          <w:rPr>
            <w:rStyle w:val="Hyperlink"/>
            <w:rFonts w:eastAsia="Times New Roman" w:cs="Times New Roman"/>
          </w:rPr>
          <w:t>pubmed</w:t>
        </w:r>
        <w:proofErr w:type="spellEnd"/>
        <w:r w:rsidRPr="0027216C">
          <w:rPr>
            <w:rStyle w:val="Hyperlink"/>
            <w:rFonts w:eastAsia="Times New Roman" w:cs="Times New Roman"/>
          </w:rPr>
          <w:t>/</w:t>
        </w:r>
      </w:hyperlink>
      <w:r w:rsidRPr="0027216C">
        <w:rPr>
          <w:rFonts w:eastAsia="Times New Roman"/>
        </w:rPr>
        <w:t xml:space="preserve">) durchgeführt. Folgende Einschlusskriterien wurden hierfür festgelegt: Die systematische Übersichtsarbeit, auf die sich die jeweilige Empfehlung bezieht, muss in deutscher oder englischer Sprache vorliegen, in Europa, Nordamerika oder Australien/Neuseeland erstellt bzw. herausgegeben worden sein und darf maximal zehn Jahre alt sein. Falls eine (potenziell) geeignete Übersichtsarbeit gefunden wurde, erfolgte die Auswahl bzw. der Ausschluss als Studienbasis für die Empfehlung im QS unabhängig durch zwei </w:t>
      </w:r>
      <w:proofErr w:type="spellStart"/>
      <w:proofErr w:type="gramStart"/>
      <w:r w:rsidRPr="0027216C">
        <w:rPr>
          <w:rFonts w:eastAsia="Times New Roman"/>
        </w:rPr>
        <w:t>Mitarbeiter:innen</w:t>
      </w:r>
      <w:proofErr w:type="spellEnd"/>
      <w:proofErr w:type="gramEnd"/>
      <w:r w:rsidRPr="0027216C">
        <w:rPr>
          <w:rFonts w:eastAsia="Times New Roman"/>
        </w:rPr>
        <w:t xml:space="preserve"> der GÖG. Bei Dissens wurde durch Diskussion eine Einigung hergestellt.</w:t>
      </w:r>
    </w:p>
    <w:p w14:paraId="6F513F28" w14:textId="11A0EA5D" w:rsidR="007E3FAA" w:rsidRPr="0027216C" w:rsidRDefault="00A42038">
      <w:pPr>
        <w:spacing w:before="120"/>
        <w:rPr>
          <w:rFonts w:eastAsia="Times New Roman"/>
        </w:rPr>
      </w:pPr>
      <w:r w:rsidRPr="0027216C">
        <w:t>Die Festlegung der Evidenzstärke für die Empfehlungen dieses QS erfolgte gemäß einem festgelegten Bewertungsschema (Evidenzstärke stark, mittel, schwach</w:t>
      </w:r>
      <w:r w:rsidR="00BD4FA6">
        <w:t>;</w:t>
      </w:r>
      <w:r w:rsidRPr="0027216C">
        <w:t xml:space="preserve"> siehe </w:t>
      </w:r>
      <w:r w:rsidR="004558C4" w:rsidRPr="0027216C">
        <w:fldChar w:fldCharType="begin"/>
      </w:r>
      <w:r w:rsidR="004558C4" w:rsidRPr="0027216C">
        <w:instrText xml:space="preserve"> REF _Ref188540558 \h </w:instrText>
      </w:r>
      <w:r w:rsidR="0027216C">
        <w:instrText xml:space="preserve"> \* MERGEFORMAT </w:instrText>
      </w:r>
      <w:r w:rsidR="004558C4" w:rsidRPr="0027216C">
        <w:fldChar w:fldCharType="separate"/>
      </w:r>
      <w:r w:rsidR="004558C4" w:rsidRPr="0027216C">
        <w:t xml:space="preserve">Tabelle </w:t>
      </w:r>
      <w:r w:rsidR="004558C4" w:rsidRPr="0027216C">
        <w:rPr>
          <w:noProof/>
        </w:rPr>
        <w:t>2</w:t>
      </w:r>
      <w:r w:rsidR="004558C4" w:rsidRPr="0027216C">
        <w:fldChar w:fldCharType="end"/>
      </w:r>
      <w:r w:rsidR="00BD4FA6" w:rsidRPr="00BD4FA6">
        <w:t xml:space="preserve"> </w:t>
      </w:r>
      <w:r w:rsidR="00BD4FA6">
        <w:t xml:space="preserve">im </w:t>
      </w:r>
      <w:r w:rsidR="00BD4FA6" w:rsidRPr="0027216C">
        <w:t>Anhang</w:t>
      </w:r>
      <w:r w:rsidRPr="0027216C">
        <w:t xml:space="preserve">). Bei mehr als einer Evidenzquelle für die Empfehlung wurde für die Beurteilung der Evidenzstärke der jeweils höchste Evidenzgrad herangezogen. </w:t>
      </w:r>
      <w:r w:rsidRPr="0027216C">
        <w:rPr>
          <w:rFonts w:eastAsia="Times New Roman"/>
        </w:rPr>
        <w:t>Falls für eine Empfehlung keine externe Evidenzbasis identifiziert w</w:t>
      </w:r>
      <w:r w:rsidR="00BD4FA6">
        <w:rPr>
          <w:rFonts w:eastAsia="Times New Roman"/>
        </w:rPr>
        <w:t>o</w:t>
      </w:r>
      <w:r w:rsidRPr="0027216C">
        <w:rPr>
          <w:rFonts w:eastAsia="Times New Roman"/>
        </w:rPr>
        <w:t>rde</w:t>
      </w:r>
      <w:r w:rsidR="00BD4FA6">
        <w:rPr>
          <w:rFonts w:eastAsia="Times New Roman"/>
        </w:rPr>
        <w:t>n ist</w:t>
      </w:r>
      <w:r w:rsidRPr="0027216C">
        <w:rPr>
          <w:rFonts w:eastAsia="Times New Roman"/>
        </w:rPr>
        <w:t>, kann die Projektgruppe in Abstimmung mit den externen Expertinnen</w:t>
      </w:r>
      <w:r w:rsidR="00080410">
        <w:rPr>
          <w:rFonts w:eastAsia="Times New Roman"/>
        </w:rPr>
        <w:t xml:space="preserve"> und Experten</w:t>
      </w:r>
      <w:r w:rsidRPr="0027216C">
        <w:rPr>
          <w:rFonts w:eastAsia="Times New Roman"/>
        </w:rPr>
        <w:t xml:space="preserve"> ein</w:t>
      </w:r>
      <w:r w:rsidR="00BD4FA6">
        <w:rPr>
          <w:rFonts w:eastAsia="Times New Roman"/>
        </w:rPr>
        <w:t>e</w:t>
      </w:r>
      <w:r w:rsidRPr="0027216C">
        <w:rPr>
          <w:rFonts w:eastAsia="Times New Roman"/>
        </w:rPr>
        <w:t xml:space="preserve"> Konsensempfehlung abgeben</w:t>
      </w:r>
      <w:r w:rsidR="00AE5135">
        <w:rPr>
          <w:rFonts w:eastAsia="Times New Roman"/>
        </w:rPr>
        <w:t>.</w:t>
      </w:r>
    </w:p>
    <w:p w14:paraId="1AF0D00E" w14:textId="77777777" w:rsidR="007E3FAA" w:rsidRPr="0027216C" w:rsidRDefault="00A42038">
      <w:pPr>
        <w:rPr>
          <w:rFonts w:eastAsia="Times New Roman" w:cs="Times New Roman"/>
          <w:color w:val="000000" w:themeColor="text1"/>
        </w:rPr>
      </w:pPr>
      <w:r w:rsidRPr="0027216C">
        <w:rPr>
          <w:rFonts w:eastAsia="Times New Roman" w:cs="Times New Roman"/>
          <w:color w:val="000000" w:themeColor="text1"/>
        </w:rPr>
        <w:t>Für den erklärenden Text zu den Empfehlungen (Hintergrund / weiterführende Information) wurden ggfs. weitere Evidenzquellen genannt.</w:t>
      </w:r>
    </w:p>
    <w:p w14:paraId="236A5991" w14:textId="77777777" w:rsidR="007E3FAA" w:rsidRPr="0027216C" w:rsidRDefault="00A42038">
      <w:pPr>
        <w:pStyle w:val="berschrift2"/>
      </w:pPr>
      <w:bookmarkStart w:id="70" w:name="_Toc211342065"/>
      <w:r w:rsidRPr="0027216C">
        <w:t>Empfehlungsgrad</w:t>
      </w:r>
      <w:bookmarkEnd w:id="70"/>
    </w:p>
    <w:p w14:paraId="41FAD728" w14:textId="6DD3F2B4" w:rsidR="007E3FAA" w:rsidRPr="0027216C" w:rsidRDefault="00A42038">
      <w:pPr>
        <w:spacing w:before="120"/>
        <w:rPr>
          <w:rFonts w:eastAsia="Times New Roman" w:cs="Times New Roman"/>
          <w:color w:val="000000" w:themeColor="text1"/>
        </w:rPr>
      </w:pPr>
      <w:r w:rsidRPr="0027216C">
        <w:rPr>
          <w:rFonts w:eastAsia="Times New Roman" w:cs="Times New Roman"/>
          <w:color w:val="000000" w:themeColor="text1"/>
        </w:rPr>
        <w:t xml:space="preserve">Die aus den Empfehlungen abgeleiteten Empfehlungsgrade wurden gemäß der </w:t>
      </w:r>
      <w:r w:rsidRPr="0027216C">
        <w:rPr>
          <w:rFonts w:eastAsia="Times New Roman" w:cs="Times New Roman"/>
          <w:i/>
          <w:iCs/>
          <w:color w:val="000000" w:themeColor="text1"/>
        </w:rPr>
        <w:t>Methode zur Erstellung von Qualitätsstandards</w:t>
      </w:r>
      <w:r w:rsidRPr="0027216C">
        <w:rPr>
          <w:rFonts w:eastAsia="Times New Roman" w:cs="Times New Roman"/>
          <w:color w:val="000000" w:themeColor="text1"/>
        </w:rPr>
        <w:t xml:space="preserve"> (BMSGPK 2024) von der Projektgruppe Qualitätsstandards entsprechend nachfolgender Tabelle festgelegt und </w:t>
      </w:r>
      <w:r w:rsidR="00CD3062">
        <w:rPr>
          <w:rFonts w:eastAsia="Times New Roman" w:cs="Times New Roman"/>
          <w:color w:val="000000" w:themeColor="text1"/>
        </w:rPr>
        <w:t xml:space="preserve">es wurde </w:t>
      </w:r>
      <w:r w:rsidRPr="0027216C">
        <w:rPr>
          <w:rFonts w:eastAsia="Times New Roman" w:cs="Times New Roman"/>
          <w:color w:val="000000" w:themeColor="text1"/>
        </w:rPr>
        <w:t>die korrespondiere sprachliche Formulierung verwendet.</w:t>
      </w:r>
    </w:p>
    <w:bookmarkEnd w:id="62"/>
    <w:p w14:paraId="4F1CFE4F" w14:textId="4954E837" w:rsidR="007E3FAA" w:rsidRPr="0027216C" w:rsidRDefault="00AE5135" w:rsidP="00AE5135">
      <w:pPr>
        <w:pStyle w:val="Beschriftung"/>
      </w:pPr>
      <w:r>
        <w:t xml:space="preserve">Tabelle </w:t>
      </w:r>
      <w:fldSimple w:instr=" SEQ Tabelle \* ARABIC ">
        <w:r>
          <w:rPr>
            <w:noProof/>
          </w:rPr>
          <w:t>1</w:t>
        </w:r>
      </w:fldSimple>
      <w:r>
        <w:t xml:space="preserve">: </w:t>
      </w:r>
      <w:r w:rsidR="00A42038" w:rsidRPr="0027216C">
        <w:t>Empfehlungsgrade und Formulierung für Empfehlungen im Qualitätsstandard</w:t>
      </w:r>
    </w:p>
    <w:tbl>
      <w:tblPr>
        <w:tblStyle w:val="GGRahmen"/>
        <w:tblW w:w="5000" w:type="pct"/>
        <w:tblLook w:val="04A0" w:firstRow="1" w:lastRow="0" w:firstColumn="1" w:lastColumn="0" w:noHBand="0" w:noVBand="1"/>
      </w:tblPr>
      <w:tblGrid>
        <w:gridCol w:w="2039"/>
        <w:gridCol w:w="2170"/>
        <w:gridCol w:w="2123"/>
        <w:gridCol w:w="2059"/>
      </w:tblGrid>
      <w:tr w:rsidR="007E3FAA" w:rsidRPr="0027216C" w14:paraId="31C7305F" w14:textId="77777777" w:rsidTr="00AE5135">
        <w:trPr>
          <w:cnfStyle w:val="100000000000" w:firstRow="1" w:lastRow="0" w:firstColumn="0" w:lastColumn="0" w:oddVBand="0" w:evenVBand="0" w:oddHBand="0" w:evenHBand="0" w:firstRowFirstColumn="0" w:firstRowLastColumn="0" w:lastRowFirstColumn="0" w:lastRowLastColumn="0"/>
          <w:trHeight w:val="125"/>
        </w:trPr>
        <w:tc>
          <w:tcPr>
            <w:tcW w:w="1215" w:type="pct"/>
          </w:tcPr>
          <w:p w14:paraId="2655024E" w14:textId="77777777" w:rsidR="007E3FAA" w:rsidRPr="00AE5135" w:rsidRDefault="00A42038">
            <w:pPr>
              <w:pStyle w:val="THEbene1"/>
              <w:rPr>
                <w:rFonts w:eastAsia="Times New Roman"/>
                <w:b w:val="0"/>
                <w:bCs/>
              </w:rPr>
            </w:pPr>
            <w:r w:rsidRPr="00AE5135">
              <w:rPr>
                <w:rFonts w:eastAsia="Times New Roman"/>
                <w:b w:val="0"/>
                <w:bCs/>
              </w:rPr>
              <w:t>Empfehlungsgrad</w:t>
            </w:r>
          </w:p>
        </w:tc>
        <w:tc>
          <w:tcPr>
            <w:tcW w:w="1293" w:type="pct"/>
          </w:tcPr>
          <w:p w14:paraId="26462981" w14:textId="77777777" w:rsidR="007E3FAA" w:rsidRPr="00AE5135" w:rsidRDefault="00A42038">
            <w:pPr>
              <w:pStyle w:val="THEbene1"/>
              <w:rPr>
                <w:rFonts w:eastAsia="Times New Roman"/>
                <w:b w:val="0"/>
                <w:bCs/>
              </w:rPr>
            </w:pPr>
            <w:r w:rsidRPr="00AE5135">
              <w:rPr>
                <w:rFonts w:eastAsia="Times New Roman"/>
                <w:b w:val="0"/>
                <w:bCs/>
              </w:rPr>
              <w:t>Beschreibung</w:t>
            </w:r>
          </w:p>
        </w:tc>
        <w:tc>
          <w:tcPr>
            <w:tcW w:w="1265" w:type="pct"/>
          </w:tcPr>
          <w:p w14:paraId="6CB2F20F" w14:textId="77777777" w:rsidR="007E3FAA" w:rsidRPr="00AE5135" w:rsidRDefault="00A42038">
            <w:pPr>
              <w:pStyle w:val="THEbene1"/>
              <w:rPr>
                <w:rFonts w:eastAsia="Times New Roman"/>
                <w:b w:val="0"/>
                <w:bCs/>
              </w:rPr>
            </w:pPr>
            <w:r w:rsidRPr="00AE5135">
              <w:rPr>
                <w:rFonts w:eastAsia="Times New Roman"/>
                <w:b w:val="0"/>
                <w:bCs/>
              </w:rPr>
              <w:t>Formulierung</w:t>
            </w:r>
          </w:p>
        </w:tc>
        <w:tc>
          <w:tcPr>
            <w:tcW w:w="1227" w:type="pct"/>
          </w:tcPr>
          <w:p w14:paraId="27FD0C22" w14:textId="77777777" w:rsidR="007E3FAA" w:rsidRPr="00AE5135" w:rsidRDefault="00A42038">
            <w:pPr>
              <w:pStyle w:val="THEbene1"/>
              <w:rPr>
                <w:rFonts w:eastAsia="Times New Roman"/>
                <w:b w:val="0"/>
                <w:bCs/>
              </w:rPr>
            </w:pPr>
            <w:r w:rsidRPr="00AE5135">
              <w:rPr>
                <w:rFonts w:eastAsia="Times New Roman"/>
                <w:b w:val="0"/>
                <w:bCs/>
              </w:rPr>
              <w:t>Symbol</w:t>
            </w:r>
          </w:p>
        </w:tc>
      </w:tr>
      <w:tr w:rsidR="007E3FAA" w:rsidRPr="0027216C" w14:paraId="579D4F9A" w14:textId="77777777" w:rsidTr="00AE5135">
        <w:trPr>
          <w:trHeight w:val="350"/>
        </w:trPr>
        <w:tc>
          <w:tcPr>
            <w:tcW w:w="1215" w:type="pct"/>
          </w:tcPr>
          <w:p w14:paraId="419772F2" w14:textId="77777777" w:rsidR="007E3FAA" w:rsidRPr="0027216C" w:rsidRDefault="00A42038">
            <w:pPr>
              <w:pStyle w:val="TD"/>
              <w:jc w:val="center"/>
              <w:rPr>
                <w:rFonts w:eastAsia="Times New Roman"/>
              </w:rPr>
            </w:pPr>
            <w:r w:rsidRPr="0027216C">
              <w:rPr>
                <w:rFonts w:eastAsia="Times New Roman"/>
              </w:rPr>
              <w:t>A</w:t>
            </w:r>
          </w:p>
        </w:tc>
        <w:tc>
          <w:tcPr>
            <w:tcW w:w="1293" w:type="pct"/>
          </w:tcPr>
          <w:p w14:paraId="6A217DDC" w14:textId="77777777" w:rsidR="007E3FAA" w:rsidRPr="0027216C" w:rsidRDefault="00A42038">
            <w:pPr>
              <w:pStyle w:val="TD"/>
              <w:jc w:val="center"/>
              <w:rPr>
                <w:rFonts w:eastAsia="Times New Roman"/>
              </w:rPr>
            </w:pPr>
            <w:r w:rsidRPr="0027216C">
              <w:rPr>
                <w:rFonts w:eastAsia="Times New Roman"/>
              </w:rPr>
              <w:t>starke Empfehlung</w:t>
            </w:r>
          </w:p>
        </w:tc>
        <w:tc>
          <w:tcPr>
            <w:tcW w:w="1265" w:type="pct"/>
          </w:tcPr>
          <w:p w14:paraId="21E659DC" w14:textId="77777777" w:rsidR="007E3FAA" w:rsidRPr="0027216C" w:rsidRDefault="00A42038">
            <w:pPr>
              <w:pStyle w:val="TD"/>
              <w:jc w:val="center"/>
              <w:rPr>
                <w:rFonts w:eastAsia="Times New Roman"/>
              </w:rPr>
            </w:pPr>
            <w:r w:rsidRPr="0027216C">
              <w:rPr>
                <w:rFonts w:eastAsia="Times New Roman"/>
              </w:rPr>
              <w:t>soll (nicht)</w:t>
            </w:r>
          </w:p>
        </w:tc>
        <w:tc>
          <w:tcPr>
            <w:tcW w:w="1227" w:type="pct"/>
          </w:tcPr>
          <w:p w14:paraId="1D1206D8" w14:textId="77777777" w:rsidR="007E3FAA" w:rsidRPr="0027216C" w:rsidRDefault="00A42038">
            <w:pPr>
              <w:pStyle w:val="TD"/>
              <w:jc w:val="center"/>
              <w:rPr>
                <w:rFonts w:eastAsia="Times New Roman"/>
              </w:rPr>
            </w:pPr>
            <w:r w:rsidRPr="0027216C">
              <w:rPr>
                <w:rFonts w:eastAsia="Times New Roman"/>
              </w:rPr>
              <w:t>↑↑ (↓↓)</w:t>
            </w:r>
          </w:p>
        </w:tc>
      </w:tr>
      <w:tr w:rsidR="007E3FAA" w:rsidRPr="0027216C" w14:paraId="78DE7F7D" w14:textId="77777777" w:rsidTr="00AE5135">
        <w:trPr>
          <w:trHeight w:val="273"/>
        </w:trPr>
        <w:tc>
          <w:tcPr>
            <w:tcW w:w="1215" w:type="pct"/>
          </w:tcPr>
          <w:p w14:paraId="4903BD8E" w14:textId="77777777" w:rsidR="007E3FAA" w:rsidRPr="0027216C" w:rsidRDefault="00A42038">
            <w:pPr>
              <w:pStyle w:val="TD"/>
              <w:jc w:val="center"/>
              <w:rPr>
                <w:rFonts w:eastAsia="Times New Roman"/>
              </w:rPr>
            </w:pPr>
            <w:r w:rsidRPr="0027216C">
              <w:rPr>
                <w:rFonts w:eastAsia="Times New Roman"/>
              </w:rPr>
              <w:t>B</w:t>
            </w:r>
          </w:p>
        </w:tc>
        <w:tc>
          <w:tcPr>
            <w:tcW w:w="1293" w:type="pct"/>
          </w:tcPr>
          <w:p w14:paraId="2F8BDF08" w14:textId="77777777" w:rsidR="007E3FAA" w:rsidRPr="0027216C" w:rsidRDefault="00A42038">
            <w:pPr>
              <w:pStyle w:val="TD"/>
              <w:jc w:val="center"/>
              <w:rPr>
                <w:rFonts w:eastAsia="Times New Roman"/>
              </w:rPr>
            </w:pPr>
            <w:r w:rsidRPr="0027216C">
              <w:rPr>
                <w:rFonts w:eastAsia="Times New Roman"/>
              </w:rPr>
              <w:t>Empfehlung</w:t>
            </w:r>
          </w:p>
        </w:tc>
        <w:tc>
          <w:tcPr>
            <w:tcW w:w="1265" w:type="pct"/>
          </w:tcPr>
          <w:p w14:paraId="23F805B5" w14:textId="77777777" w:rsidR="007E3FAA" w:rsidRPr="0027216C" w:rsidRDefault="00A42038">
            <w:pPr>
              <w:pStyle w:val="TD"/>
              <w:jc w:val="center"/>
              <w:rPr>
                <w:rFonts w:eastAsia="Times New Roman"/>
              </w:rPr>
            </w:pPr>
            <w:r w:rsidRPr="0027216C">
              <w:rPr>
                <w:rFonts w:eastAsia="Times New Roman"/>
              </w:rPr>
              <w:t>sollte (nicht)</w:t>
            </w:r>
          </w:p>
        </w:tc>
        <w:tc>
          <w:tcPr>
            <w:tcW w:w="1227" w:type="pct"/>
          </w:tcPr>
          <w:p w14:paraId="7CFFB563" w14:textId="77777777" w:rsidR="007E3FAA" w:rsidRPr="0027216C" w:rsidRDefault="00A42038">
            <w:pPr>
              <w:pStyle w:val="TD"/>
              <w:jc w:val="center"/>
              <w:rPr>
                <w:rFonts w:eastAsia="Times New Roman"/>
              </w:rPr>
            </w:pPr>
            <w:r w:rsidRPr="0027216C">
              <w:rPr>
                <w:rFonts w:eastAsia="Times New Roman"/>
              </w:rPr>
              <w:t>↑ (↓)</w:t>
            </w:r>
          </w:p>
        </w:tc>
      </w:tr>
      <w:tr w:rsidR="007E3FAA" w:rsidRPr="0027216C" w14:paraId="105E0CF4" w14:textId="77777777" w:rsidTr="00AE5135">
        <w:trPr>
          <w:trHeight w:val="116"/>
        </w:trPr>
        <w:tc>
          <w:tcPr>
            <w:tcW w:w="1215" w:type="pct"/>
          </w:tcPr>
          <w:p w14:paraId="0ACDC73D" w14:textId="77777777" w:rsidR="007E3FAA" w:rsidRPr="0027216C" w:rsidRDefault="00A42038">
            <w:pPr>
              <w:pStyle w:val="TD"/>
              <w:jc w:val="center"/>
              <w:rPr>
                <w:rFonts w:eastAsia="Times New Roman"/>
              </w:rPr>
            </w:pPr>
            <w:r w:rsidRPr="0027216C">
              <w:rPr>
                <w:rFonts w:eastAsia="Times New Roman"/>
              </w:rPr>
              <w:t>0</w:t>
            </w:r>
          </w:p>
        </w:tc>
        <w:tc>
          <w:tcPr>
            <w:tcW w:w="1293" w:type="pct"/>
          </w:tcPr>
          <w:p w14:paraId="13612722" w14:textId="77777777" w:rsidR="007E3FAA" w:rsidRPr="0027216C" w:rsidRDefault="00A42038">
            <w:pPr>
              <w:pStyle w:val="TD"/>
              <w:jc w:val="center"/>
              <w:rPr>
                <w:rFonts w:eastAsia="Times New Roman"/>
              </w:rPr>
            </w:pPr>
            <w:r w:rsidRPr="0027216C">
              <w:rPr>
                <w:rFonts w:eastAsia="Times New Roman"/>
              </w:rPr>
              <w:t>offen</w:t>
            </w:r>
          </w:p>
        </w:tc>
        <w:tc>
          <w:tcPr>
            <w:tcW w:w="1265" w:type="pct"/>
          </w:tcPr>
          <w:p w14:paraId="11271121" w14:textId="77777777" w:rsidR="007E3FAA" w:rsidRPr="0027216C" w:rsidRDefault="00A42038">
            <w:pPr>
              <w:pStyle w:val="TD"/>
              <w:jc w:val="center"/>
              <w:rPr>
                <w:rFonts w:eastAsia="Times New Roman"/>
              </w:rPr>
            </w:pPr>
            <w:proofErr w:type="gramStart"/>
            <w:r w:rsidRPr="0027216C">
              <w:rPr>
                <w:rFonts w:eastAsia="Times New Roman"/>
              </w:rPr>
              <w:t>kann</w:t>
            </w:r>
            <w:proofErr w:type="gramEnd"/>
          </w:p>
        </w:tc>
        <w:tc>
          <w:tcPr>
            <w:tcW w:w="1227" w:type="pct"/>
          </w:tcPr>
          <w:p w14:paraId="22C8E74C" w14:textId="77777777" w:rsidR="007E3FAA" w:rsidRPr="0027216C" w:rsidRDefault="00A42038">
            <w:pPr>
              <w:pStyle w:val="TD"/>
              <w:jc w:val="center"/>
              <w:rPr>
                <w:rFonts w:eastAsia="Times New Roman"/>
              </w:rPr>
            </w:pPr>
            <w:r w:rsidRPr="0027216C">
              <w:rPr>
                <w:rFonts w:eastAsia="Times New Roman"/>
              </w:rPr>
              <w:t>↔</w:t>
            </w:r>
          </w:p>
        </w:tc>
      </w:tr>
    </w:tbl>
    <w:p w14:paraId="0323A4EA" w14:textId="48DB5A4D" w:rsidR="007E3FAA" w:rsidRPr="0027216C" w:rsidRDefault="00A42038">
      <w:pPr>
        <w:pStyle w:val="Beschriftung-Quelle"/>
      </w:pPr>
      <w:r w:rsidRPr="0027216C">
        <w:t xml:space="preserve">Quelle: </w:t>
      </w:r>
      <w:bookmarkStart w:id="71" w:name="_ENREF_4"/>
      <w:r w:rsidRPr="0027216C">
        <w:t xml:space="preserve">AWMF </w:t>
      </w:r>
      <w:r w:rsidR="00277062">
        <w:t>(</w:t>
      </w:r>
      <w:r w:rsidRPr="0027216C">
        <w:t>202</w:t>
      </w:r>
      <w:r w:rsidR="008655CD">
        <w:t>5</w:t>
      </w:r>
      <w:r w:rsidR="00277062">
        <w:t>)</w:t>
      </w:r>
      <w:bookmarkEnd w:id="71"/>
    </w:p>
    <w:p w14:paraId="37FFE36F" w14:textId="2069FD79" w:rsidR="007E3FAA" w:rsidRPr="0027216C" w:rsidRDefault="00A42038">
      <w:pPr>
        <w:pStyle w:val="berschrift2"/>
      </w:pPr>
      <w:bookmarkStart w:id="72" w:name="_Toc211342066"/>
      <w:r w:rsidRPr="0027216C">
        <w:lastRenderedPageBreak/>
        <w:t>Qualitätssicherung</w:t>
      </w:r>
      <w:bookmarkEnd w:id="72"/>
    </w:p>
    <w:p w14:paraId="6EC4F027" w14:textId="77777777" w:rsidR="007E3FAA" w:rsidRPr="0027216C" w:rsidRDefault="00A42038">
      <w:pPr>
        <w:pStyle w:val="berschrift3"/>
      </w:pPr>
      <w:r w:rsidRPr="0027216C">
        <w:t xml:space="preserve">Internes und externes Review </w:t>
      </w:r>
    </w:p>
    <w:p w14:paraId="143E0D18" w14:textId="29E0E5A5" w:rsidR="007E3FAA" w:rsidRPr="0027216C" w:rsidRDefault="00A42038">
      <w:pPr>
        <w:jc w:val="left"/>
      </w:pPr>
      <w:r w:rsidRPr="0027216C">
        <w:t>Wie von der Fachgruppe Versorgungsprozesse am 23.</w:t>
      </w:r>
      <w:r w:rsidR="006A1E13">
        <w:t xml:space="preserve"> Mai </w:t>
      </w:r>
      <w:r w:rsidRPr="0027216C">
        <w:t xml:space="preserve">2023 festgelegt, </w:t>
      </w:r>
      <w:r w:rsidR="00B65B8B" w:rsidRPr="0027216C">
        <w:t>wurde</w:t>
      </w:r>
      <w:r w:rsidRPr="0027216C">
        <w:t xml:space="preserve"> für den QS IV </w:t>
      </w:r>
      <w:r w:rsidR="00B565A9">
        <w:t>C</w:t>
      </w:r>
      <w:r w:rsidRPr="0027216C">
        <w:t>hronische</w:t>
      </w:r>
      <w:r w:rsidR="00B565A9">
        <w:t xml:space="preserve"> </w:t>
      </w:r>
      <w:r w:rsidRPr="0027216C">
        <w:t>Wunde</w:t>
      </w:r>
      <w:r w:rsidR="00FD0732" w:rsidRPr="0027216C">
        <w:t>n</w:t>
      </w:r>
      <w:r w:rsidRPr="0027216C">
        <w:t xml:space="preserve"> ein zweistufiges Begutachtungsverfahren pilotiert (siehe Methodenhandbuch, BMSGPK 2024):</w:t>
      </w:r>
    </w:p>
    <w:p w14:paraId="2B890E30" w14:textId="720B6EFF" w:rsidR="007E3FAA" w:rsidRPr="0027216C" w:rsidRDefault="00A42038" w:rsidP="00AE5135">
      <w:pPr>
        <w:pStyle w:val="Liste1"/>
        <w:tabs>
          <w:tab w:val="clear" w:pos="284"/>
          <w:tab w:val="clear" w:pos="357"/>
        </w:tabs>
      </w:pPr>
      <w:r w:rsidRPr="0027216C">
        <w:t>In einem ersten Schritt w</w:t>
      </w:r>
      <w:r w:rsidR="004A3B43" w:rsidRPr="0027216C">
        <w:t>urde</w:t>
      </w:r>
      <w:r w:rsidRPr="0027216C">
        <w:t xml:space="preserve"> ein internes Review</w:t>
      </w:r>
      <w:r w:rsidR="00513FCB" w:rsidRPr="0027216C">
        <w:t xml:space="preserve"> </w:t>
      </w:r>
      <w:r w:rsidRPr="0027216C">
        <w:t>durchgeführt, bei dem die von der Fachgruppe Versorgungsprozesse nominierten Expertinnen</w:t>
      </w:r>
      <w:r w:rsidR="001C36E3">
        <w:t xml:space="preserve"> und Experten</w:t>
      </w:r>
      <w:r w:rsidRPr="0027216C">
        <w:t xml:space="preserve"> (siehe Kernelemente) schriftliche Anmerkungen zum QS-Entwurf verfass</w:t>
      </w:r>
      <w:r w:rsidR="00603AEA" w:rsidRPr="0027216C">
        <w:t>t</w:t>
      </w:r>
      <w:r w:rsidRPr="0027216C">
        <w:t>en. Die Rückmeldungen w</w:t>
      </w:r>
      <w:r w:rsidR="004A3B43" w:rsidRPr="0027216C">
        <w:t>u</w:t>
      </w:r>
      <w:r w:rsidRPr="0027216C">
        <w:t>rden in einer gemeinsamen Sitzung mit diesen Expertinnen</w:t>
      </w:r>
      <w:r w:rsidR="003E58B3">
        <w:t xml:space="preserve"> und </w:t>
      </w:r>
      <w:r w:rsidR="001C36E3">
        <w:t>Experten</w:t>
      </w:r>
      <w:r w:rsidRPr="0027216C">
        <w:t xml:space="preserve"> </w:t>
      </w:r>
      <w:r w:rsidR="003E58B3">
        <w:t xml:space="preserve">sowie mit </w:t>
      </w:r>
      <w:r w:rsidRPr="0027216C">
        <w:t>Vertreterinnen</w:t>
      </w:r>
      <w:r w:rsidR="003E58B3">
        <w:t xml:space="preserve"> und </w:t>
      </w:r>
      <w:r w:rsidR="001C36E3">
        <w:t>Vertretern</w:t>
      </w:r>
      <w:r w:rsidRPr="0027216C">
        <w:t xml:space="preserve"> der Projektgruppe Qualitätsstandards </w:t>
      </w:r>
      <w:r w:rsidR="004A3B43" w:rsidRPr="0027216C">
        <w:t>am 7.</w:t>
      </w:r>
      <w:r w:rsidR="003E58B3">
        <w:t xml:space="preserve"> Mai </w:t>
      </w:r>
      <w:r w:rsidR="004A3B43" w:rsidRPr="0027216C">
        <w:t xml:space="preserve">2025 </w:t>
      </w:r>
      <w:r w:rsidRPr="0027216C">
        <w:t>diskutiert und abgestimmt. Die schriftlichen Anmerkungen der Expertinnen</w:t>
      </w:r>
      <w:r w:rsidR="001C36E3">
        <w:t xml:space="preserve"> und Experten</w:t>
      </w:r>
      <w:r w:rsidRPr="0027216C">
        <w:t xml:space="preserve"> sowie die Ergebnisse der </w:t>
      </w:r>
      <w:r w:rsidR="003E58B3">
        <w:br/>
      </w:r>
      <w:r w:rsidRPr="0027216C">
        <w:t xml:space="preserve">Sitzung </w:t>
      </w:r>
      <w:r w:rsidR="004A3B43" w:rsidRPr="0027216C">
        <w:t>sind</w:t>
      </w:r>
      <w:r w:rsidRPr="0027216C">
        <w:t xml:space="preserve"> in Form einer Stellungnahmetabelle dokumentiert.</w:t>
      </w:r>
    </w:p>
    <w:p w14:paraId="43F21151" w14:textId="7539121B" w:rsidR="007E3FAA" w:rsidRPr="0027216C" w:rsidRDefault="00A42038" w:rsidP="00AE5135">
      <w:pPr>
        <w:pStyle w:val="Liste1"/>
        <w:tabs>
          <w:tab w:val="clear" w:pos="284"/>
          <w:tab w:val="clear" w:pos="357"/>
        </w:tabs>
      </w:pPr>
      <w:r w:rsidRPr="0027216C">
        <w:t xml:space="preserve">In einem zweiten Schritt </w:t>
      </w:r>
      <w:r w:rsidR="00513FCB" w:rsidRPr="0027216C">
        <w:t>fand</w:t>
      </w:r>
      <w:r w:rsidRPr="0027216C">
        <w:t xml:space="preserve"> ein externes Review statt, an dem weitere nominierte Expertinnen </w:t>
      </w:r>
      <w:r w:rsidR="00D61D90">
        <w:t xml:space="preserve">und Experten </w:t>
      </w:r>
      <w:r w:rsidRPr="0027216C">
        <w:t>teiln</w:t>
      </w:r>
      <w:r w:rsidR="00A72175" w:rsidRPr="0027216C">
        <w:t>a</w:t>
      </w:r>
      <w:r w:rsidRPr="0027216C">
        <w:t xml:space="preserve">hmen (sog. „erweiterte Expertengruppe“). Das externe Review </w:t>
      </w:r>
      <w:r w:rsidR="00A72175" w:rsidRPr="0027216C">
        <w:t>fand</w:t>
      </w:r>
      <w:r w:rsidRPr="0027216C">
        <w:t xml:space="preserve"> in Form einer moderierten Sitzung </w:t>
      </w:r>
      <w:r w:rsidR="004A3B43" w:rsidRPr="0027216C">
        <w:t>am 26.</w:t>
      </w:r>
      <w:r w:rsidR="003D44A8">
        <w:t xml:space="preserve"> Juni </w:t>
      </w:r>
      <w:r w:rsidR="004A3B43" w:rsidRPr="0027216C">
        <w:t xml:space="preserve">2025 </w:t>
      </w:r>
      <w:r w:rsidRPr="0027216C">
        <w:t>statt, um einen direkten Austausch der Expertinnen</w:t>
      </w:r>
      <w:r w:rsidR="00D61D90">
        <w:t xml:space="preserve"> und Experten</w:t>
      </w:r>
      <w:r w:rsidRPr="0027216C">
        <w:t xml:space="preserve"> untereinander zu ermöglichen. Die Anmerkungen der Expertinnen</w:t>
      </w:r>
      <w:r w:rsidR="00D61D90">
        <w:t xml:space="preserve"> und Experten</w:t>
      </w:r>
      <w:r w:rsidRPr="0027216C">
        <w:t xml:space="preserve"> im externen Review</w:t>
      </w:r>
      <w:r w:rsidRPr="0027216C">
        <w:rPr>
          <w:i/>
          <w:iCs/>
        </w:rPr>
        <w:t xml:space="preserve"> </w:t>
      </w:r>
      <w:r w:rsidR="00A72175" w:rsidRPr="0027216C">
        <w:t>wurden</w:t>
      </w:r>
      <w:r w:rsidRPr="0027216C">
        <w:t xml:space="preserve"> verschriftlicht und der Projektgruppe Qualitätsstandards </w:t>
      </w:r>
      <w:r w:rsidR="00662059" w:rsidRPr="0027216C">
        <w:t xml:space="preserve">zur Annahme bzw. zur begründeten Ablehnung </w:t>
      </w:r>
      <w:r w:rsidRPr="0027216C">
        <w:t>vorgelegt.</w:t>
      </w:r>
    </w:p>
    <w:p w14:paraId="388F2E03" w14:textId="66FA03A0" w:rsidR="007E3FAA" w:rsidRPr="0027216C" w:rsidRDefault="00A42038" w:rsidP="00AE5135">
      <w:pPr>
        <w:pStyle w:val="Liste1"/>
        <w:tabs>
          <w:tab w:val="clear" w:pos="284"/>
          <w:tab w:val="clear" w:pos="357"/>
        </w:tabs>
      </w:pPr>
      <w:r w:rsidRPr="0027216C">
        <w:t xml:space="preserve">Die Ergebnisse des internen und externen Reviews werden von der Projektgruppe Qualitätsstandards in den QS für die öffentliche Konsultation eingearbeitet. Die Entscheidung über die finale Formulierung der Empfehlungen im QS liegt bei der Projektgruppe Qualitätsstandards bzw. der </w:t>
      </w:r>
      <w:r w:rsidR="00B32AA8" w:rsidRPr="0027216C">
        <w:t xml:space="preserve">Themengruppe Qualität (vormals </w:t>
      </w:r>
      <w:r w:rsidRPr="0027216C">
        <w:t>Fachgruppe Versorgungsprozesse</w:t>
      </w:r>
      <w:r w:rsidR="00B32AA8" w:rsidRPr="0027216C">
        <w:t>)</w:t>
      </w:r>
      <w:r w:rsidRPr="0027216C">
        <w:t xml:space="preserve">. Der QS in der Fassung für die öffentliche Konsultation wird der </w:t>
      </w:r>
      <w:r w:rsidR="000238DD" w:rsidRPr="0027216C">
        <w:t xml:space="preserve">Themengruppe Qualität </w:t>
      </w:r>
      <w:r w:rsidRPr="0027216C">
        <w:t>und dem Ständigen Koordinierungsausschuss zur Freigabe vorgelegt.</w:t>
      </w:r>
    </w:p>
    <w:p w14:paraId="67E4FDE8" w14:textId="77777777" w:rsidR="007E3FAA" w:rsidRPr="0027216C" w:rsidRDefault="00A42038">
      <w:pPr>
        <w:pStyle w:val="berschrift3"/>
      </w:pPr>
      <w:r w:rsidRPr="0027216C">
        <w:t>Öffentliche Konsultation</w:t>
      </w:r>
    </w:p>
    <w:p w14:paraId="56ED9ECC" w14:textId="510DBF6E" w:rsidR="007E3FAA" w:rsidRPr="0027216C" w:rsidRDefault="00A42038">
      <w:pPr>
        <w:spacing w:before="120"/>
        <w:rPr>
          <w:rFonts w:cs="Lucida Sans Unicode"/>
        </w:rPr>
      </w:pPr>
      <w:r w:rsidRPr="0027216C">
        <w:rPr>
          <w:rFonts w:cs="Lucida Sans Unicode"/>
        </w:rPr>
        <w:t xml:space="preserve">Der QS wird nach Freigabe durch die Zielsteuerungsgremien einer öffentlichen Konsultation unterzogen. Die Rückmeldungen daraus werden in Abstimmung mit der </w:t>
      </w:r>
      <w:r w:rsidRPr="0027216C">
        <w:t>Projektgruppe Qualitätsstandards</w:t>
      </w:r>
      <w:r w:rsidRPr="0027216C">
        <w:rPr>
          <w:rFonts w:cs="Lucida Sans Unicode"/>
        </w:rPr>
        <w:t xml:space="preserve"> in den QS eingearbeitet oder mit Begründung abgelehnt. Die Ergebnisse der öffentlichen Konsultation (Stellungnahmetabelle zur öffentlichen Konsultation) werden </w:t>
      </w:r>
      <w:r w:rsidRPr="0027216C">
        <w:rPr>
          <w:rFonts w:cs="Lucida Sans Unicode"/>
          <w:spacing w:val="-2"/>
        </w:rPr>
        <w:t>mit der Endfassung dieses QS auf der GÖG‐Website veröffentlicht.</w:t>
      </w:r>
    </w:p>
    <w:p w14:paraId="74F1D910" w14:textId="77777777" w:rsidR="007E3FAA" w:rsidRPr="0027216C" w:rsidRDefault="00A42038">
      <w:pPr>
        <w:pStyle w:val="berschrift2"/>
      </w:pPr>
      <w:bookmarkStart w:id="73" w:name="_Toc211342067"/>
      <w:r w:rsidRPr="0027216C">
        <w:t>Abnahme durch die Zielsteuerungsgremien und bundesweite Umsetzung</w:t>
      </w:r>
      <w:bookmarkEnd w:id="73"/>
    </w:p>
    <w:p w14:paraId="7D213CA9" w14:textId="7B3A41F4" w:rsidR="007E3FAA" w:rsidRPr="0027216C" w:rsidRDefault="00A42038">
      <w:r w:rsidRPr="0027216C">
        <w:rPr>
          <w:rFonts w:cs="Lucida Sans Unicode"/>
        </w:rPr>
        <w:t>Die Endfassung dieses QS wird nach Freigabe durch die Gremien der Zielsteuerung</w:t>
      </w:r>
      <w:r w:rsidR="00D57749">
        <w:rPr>
          <w:rFonts w:cs="Lucida Sans Unicode"/>
        </w:rPr>
        <w:t>-</w:t>
      </w:r>
      <w:r w:rsidRPr="0027216C">
        <w:rPr>
          <w:rFonts w:cs="Lucida Sans Unicode"/>
        </w:rPr>
        <w:t>Gesundheit veröffentlicht und zur bundesweiten Umsetzung empfohlen.</w:t>
      </w:r>
    </w:p>
    <w:p w14:paraId="7F21175A" w14:textId="32269F8B" w:rsidR="007E3FAA" w:rsidRPr="0027216C" w:rsidRDefault="00A42038">
      <w:pPr>
        <w:pStyle w:val="berschrift1"/>
      </w:pPr>
      <w:bookmarkStart w:id="74" w:name="_Toc159827599"/>
      <w:bookmarkStart w:id="75" w:name="_Toc211342068"/>
      <w:r w:rsidRPr="0027216C">
        <w:lastRenderedPageBreak/>
        <w:t>Empfehlungen</w:t>
      </w:r>
      <w:bookmarkEnd w:id="74"/>
      <w:bookmarkEnd w:id="75"/>
    </w:p>
    <w:p w14:paraId="3260DE96" w14:textId="2EAE20D9" w:rsidR="007E3FAA" w:rsidRPr="0027216C" w:rsidRDefault="00A42038" w:rsidP="0081750B">
      <w:pPr>
        <w:pStyle w:val="berschrift2"/>
      </w:pPr>
      <w:bookmarkStart w:id="76" w:name="_Toc211342069"/>
      <w:bookmarkStart w:id="77" w:name="_Toc148111313"/>
      <w:r w:rsidRPr="0027216C">
        <w:t>Empfehlung 1: Prävention und Früherkennung</w:t>
      </w:r>
      <w:bookmarkEnd w:id="76"/>
    </w:p>
    <w:p w14:paraId="4947E9EC" w14:textId="371B558F" w:rsidR="007E3FAA" w:rsidRPr="00EF28B9" w:rsidRDefault="0081750B" w:rsidP="00474B86">
      <w:pPr>
        <w:shd w:val="clear" w:color="auto" w:fill="A0C0D4" w:themeFill="accent2" w:themeFillTint="99"/>
        <w:spacing w:before="0" w:line="240" w:lineRule="auto"/>
        <w:rPr>
          <w:rFonts w:ascii="Segoe UI Semibold" w:hAnsi="Segoe UI Semibold" w:cs="Segoe UI Semibold"/>
        </w:rPr>
      </w:pPr>
      <w:r w:rsidRPr="00EF28B9">
        <w:rPr>
          <w:rFonts w:ascii="Segoe UI Semibold" w:hAnsi="Segoe UI Semibold" w:cs="Segoe UI Semibold"/>
          <w:noProof/>
          <w:lang w:eastAsia="de-AT" w:bidi="ar-SA"/>
        </w:rPr>
        <w:drawing>
          <wp:anchor distT="0" distB="0" distL="114300" distR="114300" simplePos="0" relativeHeight="251769856" behindDoc="0" locked="0" layoutInCell="1" allowOverlap="1" wp14:anchorId="1CD33146" wp14:editId="3962D94D">
            <wp:simplePos x="0" y="0"/>
            <wp:positionH relativeFrom="column">
              <wp:posOffset>37682</wp:posOffset>
            </wp:positionH>
            <wp:positionV relativeFrom="page">
              <wp:posOffset>1872157</wp:posOffset>
            </wp:positionV>
            <wp:extent cx="559435" cy="480060"/>
            <wp:effectExtent l="0" t="0" r="0" b="0"/>
            <wp:wrapSquare wrapText="bothSides"/>
            <wp:docPr id="1147079610"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846" name="Grafik 1" descr="Ein Bild, das Schwarz, Dunkelheit enthält.&#10;&#10;Automatisch generierte Beschreibung"/>
                    <pic:cNvPicPr/>
                  </pic:nvPicPr>
                  <pic:blipFill rotWithShape="1">
                    <a:blip r:embed="rId13" cstate="print">
                      <a:extLst>
                        <a:ext uri="{28A0092B-C50C-407E-A947-70E740481C1C}">
                          <a14:useLocalDpi xmlns:a14="http://schemas.microsoft.com/office/drawing/2010/main" val="0"/>
                        </a:ext>
                      </a:extLst>
                    </a:blip>
                    <a:srcRect b="14105"/>
                    <a:stretch/>
                  </pic:blipFill>
                  <pic:spPr bwMode="auto">
                    <a:xfrm>
                      <a:off x="0" y="0"/>
                      <a:ext cx="559435"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2038" w:rsidRPr="00EF28B9">
        <w:rPr>
          <w:rFonts w:ascii="Segoe UI Semibold" w:hAnsi="Segoe UI Semibold" w:cs="Segoe UI Semibold"/>
        </w:rPr>
        <w:t>B</w:t>
      </w:r>
      <w:bookmarkStart w:id="78" w:name="_Hlk179112219"/>
      <w:r w:rsidR="00A42038" w:rsidRPr="00EF28B9">
        <w:rPr>
          <w:rFonts w:ascii="Segoe UI Semibold" w:hAnsi="Segoe UI Semibold" w:cs="Segoe UI Semibold"/>
        </w:rPr>
        <w:t xml:space="preserve">ei </w:t>
      </w:r>
      <w:bookmarkStart w:id="79" w:name="_Hlk179112590"/>
      <w:r w:rsidR="00A42038" w:rsidRPr="00EF28B9">
        <w:rPr>
          <w:rFonts w:ascii="Segoe UI Semibold" w:hAnsi="Segoe UI Semibold" w:cs="Segoe UI Semibold"/>
        </w:rPr>
        <w:t>vorhandenen Risikofaktoren für die Entstehung einer chronischen Wunde (Grunderkrankungen, Immobilität etc.) sollen Patientinnen</w:t>
      </w:r>
      <w:r w:rsidR="00A73137" w:rsidRPr="00EF28B9">
        <w:rPr>
          <w:rFonts w:ascii="Segoe UI Semibold" w:hAnsi="Segoe UI Semibold" w:cs="Segoe UI Semibold"/>
        </w:rPr>
        <w:t xml:space="preserve"> und Patienten</w:t>
      </w:r>
      <w:r w:rsidR="00A42038" w:rsidRPr="00EF28B9">
        <w:rPr>
          <w:rFonts w:ascii="Segoe UI Semibold" w:hAnsi="Segoe UI Semibold" w:cs="Segoe UI Semibold"/>
        </w:rPr>
        <w:t xml:space="preserve"> </w:t>
      </w:r>
      <w:r w:rsidR="00B209CC" w:rsidRPr="00EF28B9">
        <w:rPr>
          <w:rFonts w:ascii="Segoe UI Semibold" w:hAnsi="Segoe UI Semibold" w:cs="Segoe UI Semibold"/>
        </w:rPr>
        <w:t xml:space="preserve">niederschwellig </w:t>
      </w:r>
      <w:r w:rsidR="00831EF7" w:rsidRPr="00EF28B9">
        <w:rPr>
          <w:rFonts w:ascii="Segoe UI Semibold" w:hAnsi="Segoe UI Semibold" w:cs="Segoe UI Semibold"/>
        </w:rPr>
        <w:t xml:space="preserve">von den beteiligten GDA </w:t>
      </w:r>
      <w:r w:rsidR="00A42038" w:rsidRPr="00EF28B9">
        <w:rPr>
          <w:rFonts w:ascii="Segoe UI Semibold" w:hAnsi="Segoe UI Semibold" w:cs="Segoe UI Semibold"/>
        </w:rPr>
        <w:t>eine a</w:t>
      </w:r>
      <w:r w:rsidR="00D57749">
        <w:rPr>
          <w:rFonts w:ascii="Segoe UI Semibold" w:hAnsi="Segoe UI Semibold" w:cs="Segoe UI Semibold"/>
        </w:rPr>
        <w:t>n</w:t>
      </w:r>
      <w:r w:rsidR="00A42038" w:rsidRPr="00277799">
        <w:rPr>
          <w:rFonts w:ascii="Segoe UI Semibold" w:hAnsi="Segoe UI Semibold" w:cs="Segoe UI Semibold"/>
        </w:rPr>
        <w:t xml:space="preserve"> </w:t>
      </w:r>
      <w:r w:rsidR="00A42038" w:rsidRPr="00EF28B9">
        <w:rPr>
          <w:rFonts w:ascii="Segoe UI Semibold" w:hAnsi="Segoe UI Semibold" w:cs="Segoe UI Semibold"/>
        </w:rPr>
        <w:t>ihre Bedürfnisse angepasste Information und Beratung erhalten bzw. sollen weitere Maßnahmen zur Prävention und Früherkennung (Screening, Kompressionstherapie etc.) gesetzt werden.</w:t>
      </w:r>
    </w:p>
    <w:bookmarkEnd w:id="78"/>
    <w:bookmarkEnd w:id="79"/>
    <w:p w14:paraId="66E5DCDF" w14:textId="692EECC3" w:rsidR="007E3FAA" w:rsidRPr="00EF28B9" w:rsidRDefault="00A42038">
      <w:pPr>
        <w:spacing w:before="360"/>
        <w:rPr>
          <w:rFonts w:ascii="Segoe UI Semibold" w:hAnsi="Segoe UI Semibold" w:cs="Segoe UI Semibold"/>
        </w:rPr>
      </w:pPr>
      <w:r w:rsidRPr="00EF28B9">
        <w:rPr>
          <w:rFonts w:ascii="Segoe UI Semibold" w:hAnsi="Segoe UI Semibold" w:cs="Segoe UI Semibold"/>
        </w:rPr>
        <w:t>Hintergrund / weiterführende Information</w:t>
      </w:r>
    </w:p>
    <w:p w14:paraId="1B57448F" w14:textId="483DDD11" w:rsidR="007E3FAA" w:rsidRPr="0027216C" w:rsidRDefault="00A42038">
      <w:r w:rsidRPr="0027216C">
        <w:t xml:space="preserve">Insbesondere </w:t>
      </w:r>
      <w:r w:rsidR="00D61D90" w:rsidRPr="00D61D90">
        <w:t xml:space="preserve">Patientinnen und Patienten </w:t>
      </w:r>
      <w:r w:rsidRPr="0027216C">
        <w:t>mit Diabetes mellitus, CVI oder pAVK sowie</w:t>
      </w:r>
      <w:r w:rsidR="006E23D4" w:rsidRPr="0027216C">
        <w:t xml:space="preserve"> </w:t>
      </w:r>
      <w:r w:rsidR="00D61D90" w:rsidRPr="00D61D90">
        <w:t>Patientinnen und Patienten</w:t>
      </w:r>
      <w:r w:rsidRPr="0027216C">
        <w:t xml:space="preserve"> </w:t>
      </w:r>
      <w:r w:rsidR="004D1947" w:rsidRPr="0027216C">
        <w:t xml:space="preserve">mit Bewegungseinschränkung </w:t>
      </w:r>
      <w:r w:rsidRPr="0027216C">
        <w:t>haben ein erhöhtes Risiko für das Entstehen einer chronischen Wunde (vgl. AWMF 2023). Eine suffiziente Therapie dieser Grunderkrankungen ist hinsichtlich der Prävention chronische</w:t>
      </w:r>
      <w:r w:rsidR="002939BF" w:rsidRPr="0027216C">
        <w:t>r</w:t>
      </w:r>
      <w:r w:rsidRPr="0027216C">
        <w:t xml:space="preserve"> Wunden essenziell.</w:t>
      </w:r>
    </w:p>
    <w:p w14:paraId="7DEDEADA" w14:textId="1785DC62" w:rsidR="007E3FAA" w:rsidRPr="0027216C" w:rsidRDefault="00A42038">
      <w:r w:rsidRPr="0027216C">
        <w:t xml:space="preserve">Sobald bei </w:t>
      </w:r>
      <w:r w:rsidR="00D61D90" w:rsidRPr="00D61D90">
        <w:t xml:space="preserve">Patientinnen und Patienten </w:t>
      </w:r>
      <w:r w:rsidRPr="0027216C">
        <w:t xml:space="preserve">ein erhöhtes Risiko für die Entstehung einer chronischen Wunde festgestellt wird, sollen individuelle präventive Maßnahmen gesetzt werden (z. B. </w:t>
      </w:r>
      <w:r w:rsidR="003308A2" w:rsidRPr="0027216C">
        <w:rPr>
          <w:rFonts w:cs="Segoe UI"/>
        </w:rPr>
        <w:t>Hilfsmittel zur Positionierung,</w:t>
      </w:r>
      <w:r w:rsidRPr="0027216C">
        <w:t xml:space="preserve"> Kompressionstherapie, orthopädische Schuhversorgung) (vgl. Gaspar 2019</w:t>
      </w:r>
      <w:r w:rsidR="003727DE">
        <w:t>;</w:t>
      </w:r>
      <w:r w:rsidRPr="0027216C">
        <w:t xml:space="preserve"> von Netten 2024). </w:t>
      </w:r>
      <w:r w:rsidRPr="0027216C">
        <w:rPr>
          <w:rFonts w:eastAsia="Times New Roman"/>
        </w:rPr>
        <w:t xml:space="preserve">Bei </w:t>
      </w:r>
      <w:r w:rsidR="00D61D90" w:rsidRPr="00D61D90">
        <w:rPr>
          <w:rFonts w:eastAsia="Times New Roman"/>
        </w:rPr>
        <w:t xml:space="preserve">Patientinnen und Patienten </w:t>
      </w:r>
      <w:r w:rsidRPr="0027216C">
        <w:rPr>
          <w:rFonts w:eastAsia="Times New Roman"/>
        </w:rPr>
        <w:t xml:space="preserve">mit einem potenziell erhöhten Dekubitusrisiko soll ein standardisiertes Risikoscreening durchgeführt werden. Das weitere Vorgehen (Zeitpunkt und Inhalt des nächsten Screenings, </w:t>
      </w:r>
      <w:proofErr w:type="spellStart"/>
      <w:r w:rsidRPr="0027216C">
        <w:rPr>
          <w:rFonts w:eastAsia="Times New Roman"/>
        </w:rPr>
        <w:t>Risikoassessment</w:t>
      </w:r>
      <w:proofErr w:type="spellEnd"/>
      <w:r w:rsidRPr="0027216C">
        <w:rPr>
          <w:rFonts w:eastAsia="Times New Roman"/>
        </w:rPr>
        <w:t xml:space="preserve"> etc.) richtet sich nach dessen Ergebnis (IWGDF 2019; EPUAP </w:t>
      </w:r>
      <w:r w:rsidR="00031B4C" w:rsidRPr="0027216C">
        <w:rPr>
          <w:rFonts w:eastAsia="Times New Roman"/>
        </w:rPr>
        <w:t>20</w:t>
      </w:r>
      <w:r w:rsidR="00031B4C">
        <w:rPr>
          <w:rFonts w:eastAsia="Times New Roman"/>
        </w:rPr>
        <w:t>20</w:t>
      </w:r>
      <w:r w:rsidRPr="0027216C">
        <w:rPr>
          <w:rFonts w:eastAsia="Times New Roman"/>
        </w:rPr>
        <w:t>).</w:t>
      </w:r>
    </w:p>
    <w:p w14:paraId="2B57A349" w14:textId="0856A20E" w:rsidR="007E3FAA" w:rsidRPr="0027216C" w:rsidRDefault="00A42038">
      <w:r w:rsidRPr="0027216C">
        <w:t>Eine laufende Evaluation (z. B. ein erweitertes Dekubitus-Risiko-Assessment</w:t>
      </w:r>
      <w:r w:rsidR="00762FDC" w:rsidRPr="0027216C">
        <w:t xml:space="preserve">, </w:t>
      </w:r>
      <w:proofErr w:type="spellStart"/>
      <w:r w:rsidR="00762FDC" w:rsidRPr="0027216C">
        <w:t>Neuropathiescreening</w:t>
      </w:r>
      <w:proofErr w:type="spellEnd"/>
      <w:r w:rsidR="00762FDC" w:rsidRPr="0027216C">
        <w:t xml:space="preserve"> bei Patientinnen und Patienten mit Diabetes</w:t>
      </w:r>
      <w:r w:rsidR="001D377B" w:rsidRPr="0027216C">
        <w:t xml:space="preserve"> mellitus</w:t>
      </w:r>
      <w:r w:rsidRPr="0027216C">
        <w:t xml:space="preserve">) und ggfs. eine Therapieanpassung </w:t>
      </w:r>
      <w:r w:rsidR="00F724F7" w:rsidRPr="0027216C">
        <w:t xml:space="preserve">müssen </w:t>
      </w:r>
      <w:r w:rsidRPr="0027216C">
        <w:t>durchgeführt werden.</w:t>
      </w:r>
    </w:p>
    <w:p w14:paraId="5C1FE52F" w14:textId="32078EB2" w:rsidR="007E3FAA" w:rsidRPr="0027216C" w:rsidRDefault="00A42038">
      <w:r w:rsidRPr="0027216C">
        <w:t xml:space="preserve">Um es </w:t>
      </w:r>
      <w:r w:rsidR="00D61D90" w:rsidRPr="00D61D90">
        <w:t xml:space="preserve">Patientinnen und Patienten </w:t>
      </w:r>
      <w:r w:rsidR="00F724F7" w:rsidRPr="0027216C">
        <w:t xml:space="preserve">und/oder deren An- und Zugehörigen </w:t>
      </w:r>
      <w:r w:rsidRPr="0027216C">
        <w:t xml:space="preserve">zu ermöglichen, sich aktiv in die Prävention von chronischen Wunden einzubringen, sollen Maßnahmen zur Erhöhung der Gesundheitskompetenz gesetzt werden. Hierbei sollen die Informationen und die Beratung an die individuellen Bedürfnisse der </w:t>
      </w:r>
      <w:r w:rsidR="00D61D90" w:rsidRPr="00D61D90">
        <w:t xml:space="preserve">Patientinnen und Patienten </w:t>
      </w:r>
      <w:r w:rsidRPr="0027216C">
        <w:t xml:space="preserve">angepasst werden (vgl. </w:t>
      </w:r>
      <w:proofErr w:type="spellStart"/>
      <w:r w:rsidRPr="0027216C">
        <w:t>Gethin</w:t>
      </w:r>
      <w:proofErr w:type="spellEnd"/>
      <w:r w:rsidRPr="0027216C">
        <w:t xml:space="preserve"> 2020).</w:t>
      </w:r>
    </w:p>
    <w:p w14:paraId="4EA828B8" w14:textId="7E93B47F" w:rsidR="007E3FAA" w:rsidRPr="005545AB" w:rsidRDefault="00A42038">
      <w:pPr>
        <w:spacing w:before="360"/>
        <w:rPr>
          <w:rFonts w:ascii="Segoe UI Semibold" w:hAnsi="Segoe UI Semibold" w:cs="Segoe UI Semibold"/>
        </w:rPr>
      </w:pPr>
      <w:r w:rsidRPr="005545AB">
        <w:rPr>
          <w:rFonts w:ascii="Segoe UI Semibold" w:hAnsi="Segoe UI Semibold" w:cs="Segoe UI Semibold"/>
        </w:rPr>
        <w:t>Evidenzbasis:</w:t>
      </w:r>
    </w:p>
    <w:p w14:paraId="242F0339" w14:textId="77777777" w:rsidR="007E3FAA" w:rsidRPr="0027216C" w:rsidRDefault="00A42038">
      <w:pPr>
        <w:spacing w:before="0" w:line="240" w:lineRule="auto"/>
      </w:pPr>
      <w:r w:rsidRPr="0027216C">
        <w:t>Beobachtungsstudien in:</w:t>
      </w:r>
    </w:p>
    <w:p w14:paraId="3A9B5628" w14:textId="4CE3F325" w:rsidR="007E3FAA" w:rsidRPr="0027216C" w:rsidRDefault="00A42038" w:rsidP="005545AB">
      <w:pPr>
        <w:pStyle w:val="Liste1"/>
      </w:pPr>
      <w:r w:rsidRPr="0027216C">
        <w:t xml:space="preserve">AWMF </w:t>
      </w:r>
      <w:r w:rsidR="00887DC8">
        <w:t>(</w:t>
      </w:r>
      <w:r w:rsidRPr="0027216C">
        <w:t>2023</w:t>
      </w:r>
      <w:r w:rsidR="00887DC8">
        <w:t>)</w:t>
      </w:r>
      <w:r w:rsidRPr="0027216C">
        <w:t>: S3‐Leitlinie Lokaltherapie chronischer Wunden</w:t>
      </w:r>
    </w:p>
    <w:p w14:paraId="74451C10" w14:textId="6CB3E84E" w:rsidR="007E3FAA" w:rsidRPr="0027216C" w:rsidRDefault="00A42038" w:rsidP="005545AB">
      <w:pPr>
        <w:pStyle w:val="Liste1"/>
      </w:pPr>
      <w:r w:rsidRPr="0027216C">
        <w:t xml:space="preserve">EPUAP </w:t>
      </w:r>
      <w:r w:rsidR="00887DC8">
        <w:t>(</w:t>
      </w:r>
      <w:r w:rsidRPr="0027216C">
        <w:t>2020</w:t>
      </w:r>
      <w:r w:rsidR="00887DC8">
        <w:t>)</w:t>
      </w:r>
      <w:r w:rsidRPr="0027216C">
        <w:t>: Prävention und Behandlung von Dekubitus</w:t>
      </w:r>
    </w:p>
    <w:p w14:paraId="1A52825C" w14:textId="03805BEF" w:rsidR="007E3FAA" w:rsidRPr="0027216C" w:rsidRDefault="00A42038" w:rsidP="005545AB">
      <w:pPr>
        <w:pStyle w:val="Liste1"/>
        <w:rPr>
          <w:lang w:val="en-US"/>
        </w:rPr>
      </w:pPr>
      <w:r w:rsidRPr="0027216C">
        <w:rPr>
          <w:lang w:val="en-US"/>
        </w:rPr>
        <w:t xml:space="preserve">IWGDF </w:t>
      </w:r>
      <w:r w:rsidR="00887DC8">
        <w:rPr>
          <w:lang w:val="en-US"/>
        </w:rPr>
        <w:t>(</w:t>
      </w:r>
      <w:r w:rsidRPr="0027216C">
        <w:rPr>
          <w:lang w:val="en-US"/>
        </w:rPr>
        <w:t>2023</w:t>
      </w:r>
      <w:r w:rsidR="00887DC8">
        <w:rPr>
          <w:lang w:val="en-US"/>
        </w:rPr>
        <w:t>)</w:t>
      </w:r>
      <w:r w:rsidRPr="0027216C">
        <w:rPr>
          <w:lang w:val="en-US"/>
        </w:rPr>
        <w:t>: Practical guidelines on the prevention and management of diabetes-related foot disease</w:t>
      </w:r>
    </w:p>
    <w:p w14:paraId="73FB729B" w14:textId="6E539399" w:rsidR="007E3FAA" w:rsidRPr="0027216C" w:rsidRDefault="00A42038">
      <w:pPr>
        <w:rPr>
          <w:bCs/>
        </w:rPr>
      </w:pPr>
      <w:r w:rsidRPr="00153C32">
        <w:rPr>
          <w:rFonts w:ascii="Segoe UI Semibold" w:hAnsi="Segoe UI Semibold" w:cs="Segoe UI Semibold"/>
        </w:rPr>
        <w:t>Evidenzstärke:</w:t>
      </w:r>
      <w:r w:rsidRPr="0027216C">
        <w:t xml:space="preserve"> </w:t>
      </w:r>
      <w:r w:rsidRPr="0027216C">
        <w:rPr>
          <w:bCs/>
        </w:rPr>
        <w:t>mittel</w:t>
      </w:r>
    </w:p>
    <w:p w14:paraId="10688F16" w14:textId="77777777" w:rsidR="007E3FAA" w:rsidRPr="0027216C" w:rsidRDefault="00A42038">
      <w:r w:rsidRPr="00153C32">
        <w:rPr>
          <w:rFonts w:ascii="Segoe UI Semibold" w:hAnsi="Segoe UI Semibold" w:cs="Segoe UI Semibold"/>
        </w:rPr>
        <w:t>Empfehlungsgrad: A</w:t>
      </w:r>
      <w:r w:rsidRPr="0027216C">
        <w:t xml:space="preserve"> </w:t>
      </w:r>
      <w:r w:rsidRPr="0027216C">
        <w:rPr>
          <w:bCs/>
        </w:rPr>
        <w:t>(</w:t>
      </w:r>
      <w:r w:rsidRPr="0027216C">
        <w:t>starke Empfehlung)</w:t>
      </w:r>
    </w:p>
    <w:p w14:paraId="138801E0" w14:textId="17524221" w:rsidR="007E3FAA" w:rsidRPr="0027216C" w:rsidRDefault="00A42038" w:rsidP="00503BFF">
      <w:pPr>
        <w:rPr>
          <w:rFonts w:ascii="Segoe UI Semibold" w:hAnsi="Segoe UI Semibold"/>
          <w:color w:val="2D3D5A"/>
        </w:rPr>
      </w:pPr>
      <w:r w:rsidRPr="00153C32">
        <w:rPr>
          <w:rFonts w:ascii="Segoe UI Semibold" w:hAnsi="Segoe UI Semibold" w:cs="Segoe UI Semibold"/>
        </w:rPr>
        <w:t>Qualitätsindikator:</w:t>
      </w:r>
      <w:r w:rsidRPr="0027216C">
        <w:rPr>
          <w:b/>
          <w:bCs/>
        </w:rPr>
        <w:t xml:space="preserve"> </w:t>
      </w:r>
      <w:r w:rsidR="006E23D4" w:rsidRPr="0027216C">
        <w:t>nicht definiert</w:t>
      </w:r>
    </w:p>
    <w:p w14:paraId="63BC9A0E" w14:textId="49BFB50B" w:rsidR="007E3FAA" w:rsidRPr="0027216C" w:rsidRDefault="00A42038">
      <w:pPr>
        <w:pStyle w:val="berschrift2"/>
      </w:pPr>
      <w:bookmarkStart w:id="80" w:name="_Toc211342070"/>
      <w:r w:rsidRPr="0027216C">
        <w:lastRenderedPageBreak/>
        <w:t>Empfehlung 2:</w:t>
      </w:r>
      <w:bookmarkEnd w:id="77"/>
      <w:r w:rsidRPr="0027216C">
        <w:t xml:space="preserve"> Multiprofessionelle Anamnese</w:t>
      </w:r>
      <w:bookmarkEnd w:id="80"/>
    </w:p>
    <w:p w14:paraId="556F0751" w14:textId="5CC82D63" w:rsidR="007E3FAA" w:rsidRPr="00C47207" w:rsidRDefault="00A42038" w:rsidP="00474B86">
      <w:pPr>
        <w:pStyle w:val="Standard0"/>
        <w:shd w:val="clear" w:color="auto" w:fill="A0C0D4" w:themeFill="accent2" w:themeFillTint="99"/>
        <w:spacing w:line="240" w:lineRule="auto"/>
        <w:rPr>
          <w:rFonts w:ascii="Segoe UI Semibold" w:hAnsi="Segoe UI Semibold" w:cs="Segoe UI Semibold"/>
        </w:rPr>
      </w:pPr>
      <w:r w:rsidRPr="00910EA6">
        <w:rPr>
          <w:rFonts w:ascii="Segoe UI Semibold" w:hAnsi="Segoe UI Semibold" w:cs="Segoe UI Semibold"/>
          <w:noProof/>
          <w:lang w:eastAsia="de-AT" w:bidi="ar-SA"/>
        </w:rPr>
        <w:drawing>
          <wp:anchor distT="0" distB="0" distL="114300" distR="114300" simplePos="0" relativeHeight="251771904" behindDoc="1" locked="0" layoutInCell="1" allowOverlap="1" wp14:anchorId="037D73A2" wp14:editId="7EC9C179">
            <wp:simplePos x="0" y="0"/>
            <wp:positionH relativeFrom="margin">
              <wp:posOffset>627</wp:posOffset>
            </wp:positionH>
            <wp:positionV relativeFrom="paragraph">
              <wp:posOffset>25006</wp:posOffset>
            </wp:positionV>
            <wp:extent cx="586740" cy="543560"/>
            <wp:effectExtent l="0" t="0" r="3810" b="8890"/>
            <wp:wrapTight wrapText="bothSides">
              <wp:wrapPolygon edited="0">
                <wp:start x="0" y="0"/>
                <wp:lineTo x="0" y="21196"/>
                <wp:lineTo x="21039" y="21196"/>
                <wp:lineTo x="21039" y="0"/>
                <wp:lineTo x="0" y="0"/>
              </wp:wrapPolygon>
            </wp:wrapTight>
            <wp:docPr id="295734666" name="Grafik 295734666" descr="Symbolbild Standardisierte Doku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fik 82" descr="Symbolbild Standardisierte Dokument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6740" cy="543560"/>
                    </a:xfrm>
                    <a:prstGeom prst="rect">
                      <a:avLst/>
                    </a:prstGeom>
                  </pic:spPr>
                </pic:pic>
              </a:graphicData>
            </a:graphic>
            <wp14:sizeRelH relativeFrom="page">
              <wp14:pctWidth>0</wp14:pctWidth>
            </wp14:sizeRelH>
            <wp14:sizeRelV relativeFrom="page">
              <wp14:pctHeight>0</wp14:pctHeight>
            </wp14:sizeRelV>
          </wp:anchor>
        </w:drawing>
      </w:r>
      <w:r w:rsidRPr="00910EA6">
        <w:rPr>
          <w:rFonts w:ascii="Segoe UI Semibold" w:hAnsi="Segoe UI Semibold" w:cs="Segoe UI Semibold"/>
          <w:noProof/>
          <w:lang w:eastAsia="de-AT" w:bidi="ar-SA"/>
        </w:rPr>
        <w:drawing>
          <wp:anchor distT="0" distB="0" distL="114300" distR="114300" simplePos="0" relativeHeight="251665408" behindDoc="1" locked="0" layoutInCell="1" allowOverlap="1" wp14:anchorId="1D1044EE" wp14:editId="14312F9C">
            <wp:simplePos x="0" y="0"/>
            <wp:positionH relativeFrom="margin">
              <wp:align>left</wp:align>
            </wp:positionH>
            <wp:positionV relativeFrom="paragraph">
              <wp:posOffset>26594</wp:posOffset>
            </wp:positionV>
            <wp:extent cx="509905" cy="445135"/>
            <wp:effectExtent l="0" t="0" r="4445" b="0"/>
            <wp:wrapTight wrapText="bothSides">
              <wp:wrapPolygon edited="0">
                <wp:start x="0" y="0"/>
                <wp:lineTo x="0" y="20337"/>
                <wp:lineTo x="20981" y="20337"/>
                <wp:lineTo x="20981" y="0"/>
                <wp:lineTo x="0" y="0"/>
              </wp:wrapPolygon>
            </wp:wrapTight>
            <wp:docPr id="88" name="Grafik 88" descr="Symbolbild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745" cy="455214"/>
                    </a:xfrm>
                    <a:prstGeom prst="rect">
                      <a:avLst/>
                    </a:prstGeom>
                  </pic:spPr>
                </pic:pic>
              </a:graphicData>
            </a:graphic>
            <wp14:sizeRelH relativeFrom="page">
              <wp14:pctWidth>0</wp14:pctWidth>
            </wp14:sizeRelH>
            <wp14:sizeRelV relativeFrom="page">
              <wp14:pctHeight>0</wp14:pctHeight>
            </wp14:sizeRelV>
          </wp:anchor>
        </w:drawing>
      </w:r>
      <w:r w:rsidRPr="00910EA6">
        <w:rPr>
          <w:rFonts w:ascii="Segoe UI Semibold" w:hAnsi="Segoe UI Semibold" w:cs="Segoe UI Semibold"/>
        </w:rPr>
        <w:t>D</w:t>
      </w:r>
      <w:bookmarkStart w:id="81" w:name="_Hlk179112715"/>
      <w:r w:rsidRPr="00910EA6">
        <w:rPr>
          <w:rFonts w:ascii="Segoe UI Semibold" w:hAnsi="Segoe UI Semibold" w:cs="Segoe UI Semibold"/>
        </w:rPr>
        <w:t xml:space="preserve">ie Anamnese soll </w:t>
      </w:r>
      <w:r w:rsidR="0051082A" w:rsidRPr="00910EA6">
        <w:rPr>
          <w:rFonts w:ascii="Segoe UI Semibold" w:hAnsi="Segoe UI Semibold" w:cs="Segoe UI Semibold"/>
        </w:rPr>
        <w:t xml:space="preserve">so früh wie möglich </w:t>
      </w:r>
      <w:r w:rsidRPr="00910EA6">
        <w:rPr>
          <w:rFonts w:ascii="Segoe UI Semibold" w:hAnsi="Segoe UI Semibold" w:cs="Segoe UI Semibold"/>
        </w:rPr>
        <w:t>multiprofessionell erfolgen, damit neben der medizinischen</w:t>
      </w:r>
      <w:r w:rsidR="009258E7" w:rsidRPr="00910EA6">
        <w:rPr>
          <w:rFonts w:ascii="Segoe UI Semibold" w:hAnsi="Segoe UI Semibold" w:cs="Segoe UI Semibold"/>
        </w:rPr>
        <w:t xml:space="preserve"> und</w:t>
      </w:r>
      <w:r w:rsidR="009258E7" w:rsidRPr="00910EA6">
        <w:rPr>
          <w:rFonts w:ascii="Segoe UI Semibold" w:hAnsi="Segoe UI Semibold" w:cs="Segoe UI Semibold"/>
          <w:color w:val="FF0000"/>
        </w:rPr>
        <w:t xml:space="preserve"> </w:t>
      </w:r>
      <w:r w:rsidRPr="00910EA6">
        <w:rPr>
          <w:rFonts w:ascii="Segoe UI Semibold" w:hAnsi="Segoe UI Semibold" w:cs="Segoe UI Semibold"/>
        </w:rPr>
        <w:t>pflegerische</w:t>
      </w:r>
      <w:r w:rsidR="009258E7" w:rsidRPr="00910EA6">
        <w:rPr>
          <w:rFonts w:ascii="Segoe UI Semibold" w:hAnsi="Segoe UI Semibold" w:cs="Segoe UI Semibold"/>
        </w:rPr>
        <w:t xml:space="preserve">n Anamnese auch andere </w:t>
      </w:r>
      <w:r w:rsidRPr="00910EA6">
        <w:rPr>
          <w:rFonts w:ascii="Segoe UI Semibold" w:hAnsi="Segoe UI Semibold" w:cs="Segoe UI Semibold"/>
        </w:rPr>
        <w:t xml:space="preserve">für die </w:t>
      </w:r>
      <w:r w:rsidR="009258E7" w:rsidRPr="00910EA6">
        <w:rPr>
          <w:rFonts w:ascii="Segoe UI Semibold" w:hAnsi="Segoe UI Semibold" w:cs="Segoe UI Semibold"/>
        </w:rPr>
        <w:t xml:space="preserve">Versorgung </w:t>
      </w:r>
      <w:r w:rsidR="009258E7" w:rsidRPr="008009BC">
        <w:rPr>
          <w:rFonts w:ascii="Segoe UI Semibold" w:hAnsi="Segoe UI Semibold" w:cs="Segoe UI Semibold"/>
        </w:rPr>
        <w:t xml:space="preserve">erforderliche Aspekte </w:t>
      </w:r>
      <w:r w:rsidRPr="008009BC">
        <w:rPr>
          <w:rFonts w:ascii="Segoe UI Semibold" w:hAnsi="Segoe UI Semibold" w:cs="Segoe UI Semibold"/>
        </w:rPr>
        <w:t>berücksichtigt werden</w:t>
      </w:r>
      <w:r w:rsidR="009C6C5F">
        <w:rPr>
          <w:rFonts w:ascii="Segoe UI Semibold" w:hAnsi="Segoe UI Semibold" w:cs="Segoe UI Semibold"/>
        </w:rPr>
        <w:t xml:space="preserve"> können</w:t>
      </w:r>
      <w:r w:rsidRPr="008009BC">
        <w:rPr>
          <w:rFonts w:ascii="Segoe UI Semibold" w:hAnsi="Segoe UI Semibold" w:cs="Segoe UI Semibold"/>
        </w:rPr>
        <w:t xml:space="preserve">. Dabei sollen beispielsweise Reaktionen auf bisherige Wundbehandlungen, Einschränkungen, </w:t>
      </w:r>
      <w:r w:rsidR="003E123E">
        <w:rPr>
          <w:rFonts w:ascii="Segoe UI Semibold" w:hAnsi="Segoe UI Semibold" w:cs="Segoe UI Semibold"/>
        </w:rPr>
        <w:t xml:space="preserve">die </w:t>
      </w:r>
      <w:r w:rsidRPr="00C47207">
        <w:rPr>
          <w:rFonts w:ascii="Segoe UI Semibold" w:hAnsi="Segoe UI Semibold" w:cs="Segoe UI Semibold"/>
        </w:rPr>
        <w:t xml:space="preserve">Lebens- und Versorgungssituation, ein </w:t>
      </w:r>
      <w:proofErr w:type="spellStart"/>
      <w:r w:rsidRPr="00C47207">
        <w:rPr>
          <w:rFonts w:ascii="Segoe UI Semibold" w:hAnsi="Segoe UI Semibold" w:cs="Segoe UI Semibold"/>
        </w:rPr>
        <w:t>Bedarfsassessment</w:t>
      </w:r>
      <w:proofErr w:type="spellEnd"/>
      <w:r w:rsidRPr="00C47207">
        <w:rPr>
          <w:rFonts w:ascii="Segoe UI Semibold" w:hAnsi="Segoe UI Semibold" w:cs="Segoe UI Semibold"/>
        </w:rPr>
        <w:t xml:space="preserve"> sowie der Ernährungsstatus erhoben werden.</w:t>
      </w:r>
      <w:bookmarkEnd w:id="81"/>
    </w:p>
    <w:p w14:paraId="1F788E69" w14:textId="5A9144A8" w:rsidR="007E3FAA" w:rsidRPr="00C47207" w:rsidRDefault="00A42038">
      <w:pPr>
        <w:rPr>
          <w:rFonts w:ascii="Segoe UI Semibold" w:hAnsi="Segoe UI Semibold" w:cs="Segoe UI Semibold"/>
        </w:rPr>
      </w:pPr>
      <w:r w:rsidRPr="00C47207">
        <w:rPr>
          <w:rFonts w:ascii="Segoe UI Semibold" w:hAnsi="Segoe UI Semibold" w:cs="Segoe UI Semibold"/>
        </w:rPr>
        <w:t>Hintergrund / weiterführende Information</w:t>
      </w:r>
    </w:p>
    <w:p w14:paraId="6EFC1FC5" w14:textId="1203BCD2" w:rsidR="007E3FAA" w:rsidRPr="0027216C" w:rsidRDefault="00A42038">
      <w:pPr>
        <w:spacing w:before="120"/>
        <w:rPr>
          <w:rFonts w:eastAsia="Times New Roman" w:cs="Segoe UI"/>
          <w:szCs w:val="20"/>
        </w:rPr>
      </w:pPr>
      <w:r w:rsidRPr="0027216C">
        <w:rPr>
          <w:rFonts w:eastAsia="Times New Roman" w:cs="Segoe UI"/>
          <w:szCs w:val="20"/>
        </w:rPr>
        <w:t xml:space="preserve">Die Anamnese soll entsprechend den jeweiligen berufsrechtlichen Kompetenz- und Aufgabenbereichen der einzelnen involvierten Gesundheitsberufe durchgeführt werden. Die Einbindung eines multiprofessionellen Teams soll </w:t>
      </w:r>
      <w:r w:rsidR="00627200" w:rsidRPr="0027216C">
        <w:rPr>
          <w:rFonts w:eastAsia="Times New Roman" w:cs="Segoe UI"/>
          <w:szCs w:val="20"/>
        </w:rPr>
        <w:t xml:space="preserve">so früh wie möglich </w:t>
      </w:r>
      <w:r w:rsidRPr="0027216C">
        <w:rPr>
          <w:rFonts w:eastAsia="Times New Roman" w:cs="Segoe UI"/>
          <w:szCs w:val="20"/>
        </w:rPr>
        <w:t>bei der Erhebung von nicht nur rein medizinischen, sondern auch von weitere</w:t>
      </w:r>
      <w:r w:rsidR="00BE0C87">
        <w:rPr>
          <w:rFonts w:eastAsia="Times New Roman" w:cs="Segoe UI"/>
          <w:szCs w:val="20"/>
        </w:rPr>
        <w:t>n</w:t>
      </w:r>
      <w:r w:rsidRPr="0027216C">
        <w:rPr>
          <w:rFonts w:eastAsia="Times New Roman" w:cs="Segoe UI"/>
          <w:szCs w:val="20"/>
        </w:rPr>
        <w:t xml:space="preserve"> behandlungsrelevanten Faktoren unterstützen.</w:t>
      </w:r>
    </w:p>
    <w:p w14:paraId="595BA94C" w14:textId="3B1A6002" w:rsidR="007E3FAA" w:rsidRPr="0027216C" w:rsidRDefault="00A42038">
      <w:pPr>
        <w:rPr>
          <w:rFonts w:eastAsia="Times New Roman" w:cs="Segoe UI"/>
          <w:szCs w:val="20"/>
        </w:rPr>
      </w:pPr>
      <w:r w:rsidRPr="0027216C">
        <w:rPr>
          <w:rFonts w:eastAsia="Times New Roman" w:cs="Segoe UI"/>
          <w:szCs w:val="20"/>
        </w:rPr>
        <w:t>Hierbei muss das Vorgehen auf Basis von evidenzbasierten und konsentierten Leitlinien und Expertenstandards erfolgen. Neben der aktuellen Wundsituation, Grunderkrankungen, Reaktionen auf bisherige Wundbehandlungen und dem Ernährungsstatus sollen auch soziale und psychologische Aspekte im Rahmen der Anamnese erhoben werden. Zu diesen zählen unter anderem wund- und therapiebedingte Einschränkungen (z</w:t>
      </w:r>
      <w:r w:rsidR="00BE0C87" w:rsidRPr="0027216C">
        <w:rPr>
          <w:rFonts w:eastAsia="Times New Roman" w:cs="Segoe UI"/>
          <w:szCs w:val="20"/>
        </w:rPr>
        <w:t>.</w:t>
      </w:r>
      <w:r w:rsidR="00BE0C87">
        <w:rPr>
          <w:rFonts w:eastAsia="Times New Roman" w:cs="Segoe UI"/>
          <w:szCs w:val="20"/>
        </w:rPr>
        <w:t> </w:t>
      </w:r>
      <w:r w:rsidRPr="0027216C">
        <w:rPr>
          <w:rFonts w:eastAsia="Times New Roman" w:cs="Segoe UI"/>
          <w:szCs w:val="20"/>
        </w:rPr>
        <w:t xml:space="preserve">B. der Lebensqualität durch Schmerzen, Meiden von sozialen Kontakten aufgrund Wundgeruch) sowie die Lebens- und Versorgungssituation, Möglichkeiten des gesundheitsbezogenen Selbstmanagements und das persönliche Hygieneverhalten (vgl. AWMF 2023; </w:t>
      </w:r>
      <w:proofErr w:type="spellStart"/>
      <w:r w:rsidRPr="0027216C">
        <w:rPr>
          <w:rFonts w:eastAsia="Times New Roman" w:cs="Segoe UI"/>
          <w:szCs w:val="20"/>
        </w:rPr>
        <w:t>Citty</w:t>
      </w:r>
      <w:proofErr w:type="spellEnd"/>
      <w:r w:rsidRPr="0027216C">
        <w:rPr>
          <w:rFonts w:eastAsia="Times New Roman" w:cs="Segoe UI"/>
          <w:szCs w:val="20"/>
        </w:rPr>
        <w:t xml:space="preserve"> 2019; IWGDF 2023).</w:t>
      </w:r>
      <w:r w:rsidR="00F629B5" w:rsidRPr="0027216C">
        <w:rPr>
          <w:rFonts w:eastAsia="Times New Roman" w:cs="Segoe UI"/>
          <w:szCs w:val="20"/>
        </w:rPr>
        <w:t xml:space="preserve"> </w:t>
      </w:r>
      <w:r w:rsidR="005A134E" w:rsidRPr="0027216C">
        <w:rPr>
          <w:rFonts w:eastAsia="Times New Roman" w:cs="Segoe UI"/>
          <w:szCs w:val="20"/>
        </w:rPr>
        <w:t>Zusätzlich soll auch erhoben werden, ob relevante Heilbehelfe (bspw. Verbandsmaterialien) und Hilfsmittel (wie bspw. Einlagen, Schuhe etc.) bereits bei der Patientin bzw. dem Patienten vorhanden sind.</w:t>
      </w:r>
    </w:p>
    <w:p w14:paraId="0032D2CA" w14:textId="31465F16" w:rsidR="00F629B5" w:rsidRPr="0027216C" w:rsidRDefault="00A42038">
      <w:pPr>
        <w:rPr>
          <w:rFonts w:eastAsia="Times New Roman" w:cs="Segoe UI"/>
          <w:szCs w:val="20"/>
        </w:rPr>
      </w:pPr>
      <w:r w:rsidRPr="0027216C">
        <w:rPr>
          <w:rFonts w:eastAsia="Times New Roman" w:cs="Segoe UI"/>
          <w:szCs w:val="20"/>
        </w:rPr>
        <w:t>Einschränkungen der Lebensqualität sollen systematisch mit</w:t>
      </w:r>
      <w:r w:rsidR="00887DC8">
        <w:rPr>
          <w:rFonts w:eastAsia="Times New Roman" w:cs="Segoe UI"/>
          <w:szCs w:val="20"/>
        </w:rPr>
        <w:t>h</w:t>
      </w:r>
      <w:r w:rsidRPr="0027216C">
        <w:rPr>
          <w:rFonts w:eastAsia="Times New Roman" w:cs="Segoe UI"/>
          <w:szCs w:val="20"/>
        </w:rPr>
        <w:t xml:space="preserve">ilfe validierter Instrumente erhoben werden, um entsprechende Ableitungen für die Therapieziele und den Behandlungsplan </w:t>
      </w:r>
      <w:r w:rsidR="00887DC8">
        <w:rPr>
          <w:rFonts w:eastAsia="Times New Roman" w:cs="Segoe UI"/>
          <w:szCs w:val="20"/>
        </w:rPr>
        <w:t>vornehmen</w:t>
      </w:r>
      <w:r w:rsidR="00887DC8" w:rsidRPr="0027216C">
        <w:rPr>
          <w:rFonts w:eastAsia="Times New Roman" w:cs="Segoe UI"/>
          <w:szCs w:val="20"/>
        </w:rPr>
        <w:t xml:space="preserve"> </w:t>
      </w:r>
      <w:r w:rsidRPr="0027216C">
        <w:rPr>
          <w:rFonts w:eastAsia="Times New Roman" w:cs="Segoe UI"/>
          <w:szCs w:val="20"/>
        </w:rPr>
        <w:t>zu können (vgl. AWMF 2023).</w:t>
      </w:r>
    </w:p>
    <w:p w14:paraId="7A96C657" w14:textId="346F8B52" w:rsidR="007E3FAA" w:rsidRPr="00C47207" w:rsidRDefault="00A42038">
      <w:pPr>
        <w:spacing w:before="360"/>
        <w:rPr>
          <w:rFonts w:ascii="Segoe UI Semibold" w:hAnsi="Segoe UI Semibold" w:cs="Segoe UI Semibold"/>
        </w:rPr>
      </w:pPr>
      <w:r w:rsidRPr="00C47207">
        <w:rPr>
          <w:rFonts w:ascii="Segoe UI Semibold" w:hAnsi="Segoe UI Semibold" w:cs="Segoe UI Semibold"/>
        </w:rPr>
        <w:t>Evidenzbasis:</w:t>
      </w:r>
    </w:p>
    <w:p w14:paraId="0543E42E" w14:textId="77777777" w:rsidR="007E3FAA" w:rsidRPr="0027216C" w:rsidRDefault="00A42038">
      <w:pPr>
        <w:spacing w:before="0" w:line="240" w:lineRule="auto"/>
      </w:pPr>
      <w:r w:rsidRPr="0027216C">
        <w:t>Konsensempfehlungen in:</w:t>
      </w:r>
    </w:p>
    <w:p w14:paraId="189573D5" w14:textId="3640AA1F" w:rsidR="007E3FAA" w:rsidRPr="0027216C" w:rsidRDefault="00A42038" w:rsidP="00C47207">
      <w:pPr>
        <w:pStyle w:val="Liste1"/>
      </w:pPr>
      <w:r w:rsidRPr="0027216C">
        <w:t>AWMF (2023)</w:t>
      </w:r>
      <w:r w:rsidR="00EE6659">
        <w:t>:</w:t>
      </w:r>
      <w:r w:rsidRPr="0027216C">
        <w:t xml:space="preserve"> S3‐Leitlinie Lokaltherapie chronischer Wunden</w:t>
      </w:r>
    </w:p>
    <w:p w14:paraId="388971EB" w14:textId="69CB3F3A" w:rsidR="007E3FAA" w:rsidRPr="0027216C" w:rsidRDefault="00A42038" w:rsidP="00C47207">
      <w:pPr>
        <w:pStyle w:val="Liste1"/>
      </w:pPr>
      <w:bookmarkStart w:id="82" w:name="_Hlk179120559"/>
      <w:r w:rsidRPr="0027216C">
        <w:t>EPUAP (2020)</w:t>
      </w:r>
      <w:r w:rsidR="00EE6659">
        <w:t>:</w:t>
      </w:r>
      <w:r w:rsidRPr="0027216C">
        <w:t xml:space="preserve"> Prävention und Behandlung von Dekubitus</w:t>
      </w:r>
    </w:p>
    <w:p w14:paraId="0BE41F6A" w14:textId="3545775A" w:rsidR="007E3FAA" w:rsidRPr="0027216C" w:rsidRDefault="00A42038" w:rsidP="00C47207">
      <w:pPr>
        <w:pStyle w:val="Liste1"/>
        <w:rPr>
          <w:lang w:val="en-US"/>
        </w:rPr>
      </w:pPr>
      <w:r w:rsidRPr="0027216C">
        <w:rPr>
          <w:lang w:val="en-US"/>
        </w:rPr>
        <w:t>IWGDF (2023</w:t>
      </w:r>
      <w:bookmarkEnd w:id="82"/>
      <w:r w:rsidRPr="0027216C">
        <w:rPr>
          <w:lang w:val="en-US"/>
        </w:rPr>
        <w:t>)</w:t>
      </w:r>
      <w:r w:rsidR="00EE6659">
        <w:rPr>
          <w:lang w:val="en-US"/>
        </w:rPr>
        <w:t>:</w:t>
      </w:r>
      <w:r w:rsidRPr="0027216C">
        <w:rPr>
          <w:lang w:val="en-US"/>
        </w:rPr>
        <w:t xml:space="preserve"> Practical guidelines on the prevention and management of diabetes-related foot disease</w:t>
      </w:r>
    </w:p>
    <w:p w14:paraId="4995CD38" w14:textId="77777777" w:rsidR="007E3FAA" w:rsidRPr="0027216C" w:rsidRDefault="00A42038">
      <w:pPr>
        <w:rPr>
          <w:bCs/>
        </w:rPr>
      </w:pPr>
      <w:r w:rsidRPr="00C47207">
        <w:rPr>
          <w:rFonts w:ascii="Segoe UI Semibold" w:hAnsi="Segoe UI Semibold" w:cs="Segoe UI Semibold"/>
        </w:rPr>
        <w:t>Evidenzstärke:</w:t>
      </w:r>
      <w:r w:rsidRPr="0027216C">
        <w:t xml:space="preserve"> </w:t>
      </w:r>
      <w:r w:rsidRPr="0027216C">
        <w:rPr>
          <w:bCs/>
        </w:rPr>
        <w:t>niedrig</w:t>
      </w:r>
    </w:p>
    <w:p w14:paraId="12EEC187" w14:textId="77777777" w:rsidR="007E3FAA" w:rsidRPr="0027216C" w:rsidRDefault="00A42038">
      <w:r w:rsidRPr="00C47207">
        <w:rPr>
          <w:rFonts w:ascii="Segoe UI Semibold" w:hAnsi="Segoe UI Semibold" w:cs="Segoe UI Semibold"/>
        </w:rPr>
        <w:t>Empfehlungsgrad: A</w:t>
      </w:r>
      <w:r w:rsidRPr="0027216C">
        <w:t xml:space="preserve"> </w:t>
      </w:r>
      <w:r w:rsidRPr="0027216C">
        <w:rPr>
          <w:bCs/>
        </w:rPr>
        <w:t>(</w:t>
      </w:r>
      <w:r w:rsidRPr="0027216C">
        <w:t>starke Empfehlung)</w:t>
      </w:r>
    </w:p>
    <w:p w14:paraId="6C8305E6" w14:textId="674AF4B4" w:rsidR="007E3FAA" w:rsidRPr="0027216C" w:rsidRDefault="00A42038">
      <w:pPr>
        <w:rPr>
          <w:b/>
          <w:bCs/>
        </w:rPr>
      </w:pPr>
      <w:r w:rsidRPr="00C47207">
        <w:rPr>
          <w:rFonts w:ascii="Segoe UI Semibold" w:hAnsi="Segoe UI Semibold" w:cs="Segoe UI Semibold"/>
        </w:rPr>
        <w:t>Qualitätsindikator:</w:t>
      </w:r>
      <w:r w:rsidRPr="0027216C">
        <w:rPr>
          <w:b/>
          <w:bCs/>
        </w:rPr>
        <w:t xml:space="preserve"> </w:t>
      </w:r>
      <w:r w:rsidR="006E23D4" w:rsidRPr="0027216C">
        <w:t>nicht definiert</w:t>
      </w:r>
    </w:p>
    <w:p w14:paraId="798628AF" w14:textId="77777777" w:rsidR="007E3FAA" w:rsidRPr="0027216C" w:rsidRDefault="00A42038">
      <w:pPr>
        <w:spacing w:before="0" w:line="240" w:lineRule="auto"/>
        <w:jc w:val="left"/>
        <w:rPr>
          <w:rFonts w:ascii="Segoe UI Semibold" w:hAnsi="Segoe UI Semibold"/>
          <w:color w:val="2D3D5A"/>
        </w:rPr>
      </w:pPr>
      <w:r w:rsidRPr="0027216C">
        <w:br w:type="page"/>
      </w:r>
    </w:p>
    <w:p w14:paraId="2AD3C394" w14:textId="68EAFB15" w:rsidR="007E3FAA" w:rsidRPr="0027216C" w:rsidRDefault="00A42038">
      <w:pPr>
        <w:pStyle w:val="berschrift2"/>
      </w:pPr>
      <w:bookmarkStart w:id="83" w:name="_Ref204169728"/>
      <w:bookmarkStart w:id="84" w:name="_Ref204169738"/>
      <w:bookmarkStart w:id="85" w:name="_Toc211342071"/>
      <w:r w:rsidRPr="0027216C">
        <w:lastRenderedPageBreak/>
        <w:t>Empfehlung 3: Leitlinienkonforme Diagnose</w:t>
      </w:r>
      <w:r w:rsidR="004471E3" w:rsidRPr="0027216C">
        <w:t xml:space="preserve">, </w:t>
      </w:r>
      <w:r w:rsidRPr="0027216C">
        <w:t>Ursachen</w:t>
      </w:r>
      <w:r w:rsidR="004760D3">
        <w:t>-</w:t>
      </w:r>
      <w:r w:rsidR="004760D3">
        <w:br/>
      </w:r>
      <w:proofErr w:type="spellStart"/>
      <w:r w:rsidRPr="0027216C">
        <w:t>bestimmung</w:t>
      </w:r>
      <w:proofErr w:type="spellEnd"/>
      <w:r w:rsidRPr="0027216C">
        <w:t xml:space="preserve"> </w:t>
      </w:r>
      <w:r w:rsidR="004471E3" w:rsidRPr="0027216C">
        <w:t>und Therapie</w:t>
      </w:r>
      <w:bookmarkEnd w:id="83"/>
      <w:bookmarkEnd w:id="84"/>
      <w:bookmarkEnd w:id="85"/>
    </w:p>
    <w:p w14:paraId="1902BDF0" w14:textId="1B8CDD2C" w:rsidR="007E3FAA" w:rsidRPr="00C47207" w:rsidRDefault="00A42038" w:rsidP="00474B86">
      <w:pPr>
        <w:shd w:val="clear" w:color="auto" w:fill="A0C0D4" w:themeFill="accent2" w:themeFillTint="99"/>
        <w:spacing w:before="0" w:line="240" w:lineRule="auto"/>
        <w:rPr>
          <w:rFonts w:ascii="Segoe UI Semibold" w:hAnsi="Segoe UI Semibold" w:cs="Segoe UI Semibold"/>
        </w:rPr>
      </w:pPr>
      <w:r w:rsidRPr="00C47207">
        <w:rPr>
          <w:rFonts w:ascii="Segoe UI Semibold" w:hAnsi="Segoe UI Semibold" w:cs="Segoe UI Semibold"/>
          <w:noProof/>
          <w:lang w:eastAsia="de-AT" w:bidi="ar-SA"/>
        </w:rPr>
        <w:drawing>
          <wp:anchor distT="0" distB="0" distL="114300" distR="114300" simplePos="0" relativeHeight="251667456" behindDoc="1" locked="0" layoutInCell="1" allowOverlap="1" wp14:anchorId="3DFC42A6" wp14:editId="11959F04">
            <wp:simplePos x="0" y="0"/>
            <wp:positionH relativeFrom="margin">
              <wp:align>left</wp:align>
            </wp:positionH>
            <wp:positionV relativeFrom="paragraph">
              <wp:posOffset>26594</wp:posOffset>
            </wp:positionV>
            <wp:extent cx="509905" cy="445135"/>
            <wp:effectExtent l="0" t="0" r="4445" b="0"/>
            <wp:wrapTight wrapText="bothSides">
              <wp:wrapPolygon edited="0">
                <wp:start x="0" y="0"/>
                <wp:lineTo x="0" y="20337"/>
                <wp:lineTo x="20981" y="20337"/>
                <wp:lineTo x="20981" y="0"/>
                <wp:lineTo x="0" y="0"/>
              </wp:wrapPolygon>
            </wp:wrapTight>
            <wp:docPr id="542067090" name="Grafik 542067090" descr="Symbolbild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745" cy="455214"/>
                    </a:xfrm>
                    <a:prstGeom prst="rect">
                      <a:avLst/>
                    </a:prstGeom>
                  </pic:spPr>
                </pic:pic>
              </a:graphicData>
            </a:graphic>
            <wp14:sizeRelH relativeFrom="page">
              <wp14:pctWidth>0</wp14:pctWidth>
            </wp14:sizeRelH>
            <wp14:sizeRelV relativeFrom="page">
              <wp14:pctHeight>0</wp14:pctHeight>
            </wp14:sizeRelV>
          </wp:anchor>
        </w:drawing>
      </w:r>
      <w:r w:rsidRPr="00C47207">
        <w:rPr>
          <w:rFonts w:ascii="Segoe UI Semibold" w:hAnsi="Segoe UI Semibold" w:cs="Segoe UI Semibold"/>
        </w:rPr>
        <w:t xml:space="preserve">Für </w:t>
      </w:r>
      <w:bookmarkStart w:id="86" w:name="_Hlk179112822"/>
      <w:r w:rsidRPr="00C47207">
        <w:rPr>
          <w:rFonts w:ascii="Segoe UI Semibold" w:hAnsi="Segoe UI Semibold" w:cs="Segoe UI Semibold"/>
        </w:rPr>
        <w:t>das Management einer chronischen Wunde soll die zugrunde</w:t>
      </w:r>
      <w:r w:rsidR="00E423FE">
        <w:rPr>
          <w:rFonts w:ascii="Segoe UI Semibold" w:hAnsi="Segoe UI Semibold" w:cs="Segoe UI Semibold"/>
        </w:rPr>
        <w:t xml:space="preserve"> </w:t>
      </w:r>
      <w:r w:rsidRPr="00C47207">
        <w:rPr>
          <w:rFonts w:ascii="Segoe UI Semibold" w:hAnsi="Segoe UI Semibold" w:cs="Segoe UI Semibold"/>
        </w:rPr>
        <w:t>liegende Ursache differenzialdiagnostisch abgeklärt und eine entsprechende Behandlung veranlasst werden. Die Diagnostik und Therapie chronischer Wunden, deren Vorstufen sowie der zugrunde</w:t>
      </w:r>
      <w:r w:rsidR="00E423FE">
        <w:rPr>
          <w:rFonts w:ascii="Segoe UI Semibold" w:hAnsi="Segoe UI Semibold" w:cs="Segoe UI Semibold"/>
        </w:rPr>
        <w:t xml:space="preserve"> </w:t>
      </w:r>
      <w:r w:rsidRPr="00C47207">
        <w:rPr>
          <w:rFonts w:ascii="Segoe UI Semibold" w:hAnsi="Segoe UI Semibold" w:cs="Segoe UI Semibold"/>
        </w:rPr>
        <w:t xml:space="preserve">liegenden Erkrankungen sollen leitlinienkonform erfolgen. Bei der Diagnostik und Therapie sollen </w:t>
      </w:r>
      <w:r w:rsidR="00C01E96" w:rsidRPr="00C47207">
        <w:rPr>
          <w:rFonts w:ascii="Segoe UI Semibold" w:hAnsi="Segoe UI Semibold" w:cs="Segoe UI Semibold"/>
        </w:rPr>
        <w:t xml:space="preserve">frühzeitig </w:t>
      </w:r>
      <w:r w:rsidR="00977267" w:rsidRPr="00C47207">
        <w:rPr>
          <w:rFonts w:ascii="Segoe UI Semibold" w:hAnsi="Segoe UI Semibold" w:cs="Segoe UI Semibold"/>
        </w:rPr>
        <w:t xml:space="preserve">interprofessionelle </w:t>
      </w:r>
      <w:r w:rsidRPr="00C47207">
        <w:rPr>
          <w:rFonts w:ascii="Segoe UI Semibold" w:hAnsi="Segoe UI Semibold" w:cs="Segoe UI Semibold"/>
        </w:rPr>
        <w:t xml:space="preserve">und sektorenübergreifende Elemente (z. B. </w:t>
      </w:r>
      <w:proofErr w:type="spellStart"/>
      <w:r w:rsidRPr="00C47207">
        <w:rPr>
          <w:rFonts w:ascii="Segoe UI Semibold" w:hAnsi="Segoe UI Semibold" w:cs="Segoe UI Semibold"/>
        </w:rPr>
        <w:t>shared</w:t>
      </w:r>
      <w:proofErr w:type="spellEnd"/>
      <w:r w:rsidRPr="00C47207">
        <w:rPr>
          <w:rFonts w:ascii="Segoe UI Semibold" w:hAnsi="Segoe UI Semibold" w:cs="Segoe UI Semibold"/>
        </w:rPr>
        <w:t xml:space="preserve"> care) eingesetzt und leitlinienbasiert kombiniert werden.</w:t>
      </w:r>
      <w:bookmarkEnd w:id="86"/>
    </w:p>
    <w:p w14:paraId="193D6A5F" w14:textId="45008505" w:rsidR="007E3FAA" w:rsidRPr="00C47207" w:rsidRDefault="00A42038">
      <w:pPr>
        <w:spacing w:before="360"/>
      </w:pPr>
      <w:r w:rsidRPr="00C47207">
        <w:rPr>
          <w:rFonts w:ascii="Segoe UI Semibold" w:hAnsi="Segoe UI Semibold" w:cs="Segoe UI Semibold"/>
        </w:rPr>
        <w:t>Hintergrund / weiterführende Information</w:t>
      </w:r>
    </w:p>
    <w:p w14:paraId="64266B3E" w14:textId="388D3B1D" w:rsidR="007E3FAA" w:rsidRPr="0027216C" w:rsidRDefault="00A42038">
      <w:pPr>
        <w:spacing w:line="270" w:lineRule="exact"/>
        <w:rPr>
          <w:rFonts w:cs="Segoe UI"/>
          <w:szCs w:val="20"/>
        </w:rPr>
      </w:pPr>
      <w:r w:rsidRPr="0027216C">
        <w:t>Für die Diagnose, Differentialdiagnose und Ursachenbestimmung von chronischen Wunden liegen methodisch hochwertige deutschsprachige und internationale Leitlinien vor (u</w:t>
      </w:r>
      <w:r w:rsidR="00E423FE" w:rsidRPr="0027216C">
        <w:t>.</w:t>
      </w:r>
      <w:r w:rsidR="00E423FE">
        <w:t> </w:t>
      </w:r>
      <w:r w:rsidRPr="0027216C">
        <w:t>a. AWMF 2023</w:t>
      </w:r>
      <w:r w:rsidR="00E423FE">
        <w:t>;</w:t>
      </w:r>
      <w:r w:rsidRPr="0027216C">
        <w:t xml:space="preserve"> </w:t>
      </w:r>
      <w:r w:rsidRPr="0027216C">
        <w:rPr>
          <w:rFonts w:cs="Segoe UI"/>
          <w:szCs w:val="20"/>
        </w:rPr>
        <w:t>EPUAP 2020</w:t>
      </w:r>
      <w:r w:rsidR="00E423FE">
        <w:rPr>
          <w:rFonts w:cs="Segoe UI"/>
          <w:szCs w:val="20"/>
        </w:rPr>
        <w:t>;</w:t>
      </w:r>
      <w:r w:rsidRPr="0027216C">
        <w:rPr>
          <w:rFonts w:cs="Segoe UI"/>
          <w:szCs w:val="20"/>
        </w:rPr>
        <w:t xml:space="preserve"> IWGDF 2023</w:t>
      </w:r>
      <w:r w:rsidR="00E423FE">
        <w:rPr>
          <w:rFonts w:cs="Segoe UI"/>
          <w:szCs w:val="20"/>
        </w:rPr>
        <w:t>;</w:t>
      </w:r>
      <w:r w:rsidRPr="0027216C">
        <w:rPr>
          <w:rFonts w:cs="Segoe UI"/>
          <w:szCs w:val="20"/>
        </w:rPr>
        <w:t xml:space="preserve"> ÖDG 2023, Deutsche Gesellschaft für Angiologie 2024), die für den österreichischen Kontext herangezogen werden können.</w:t>
      </w:r>
    </w:p>
    <w:p w14:paraId="30ED1439" w14:textId="5AF3C2BC" w:rsidR="007E3FAA" w:rsidRPr="0027216C" w:rsidRDefault="00A42038">
      <w:r w:rsidRPr="0027216C">
        <w:t>Wie oben empfohlen, sollen bei der Diagnostik und Therapie frühzeitig partizipative Modelle angewendet werden, bei denen Gesundheitsberufe unterschiedlicher Professionen zusammen mit der</w:t>
      </w:r>
      <w:r w:rsidR="00D61D90">
        <w:t xml:space="preserve"> </w:t>
      </w:r>
      <w:r w:rsidR="00D54EF7">
        <w:t>Patientin</w:t>
      </w:r>
      <w:r w:rsidR="00D61D90">
        <w:t xml:space="preserve"> bzw. dem Patienten</w:t>
      </w:r>
      <w:r w:rsidRPr="0027216C">
        <w:t xml:space="preserve"> Entscheidungen treffen (</w:t>
      </w:r>
      <w:proofErr w:type="spellStart"/>
      <w:r w:rsidRPr="0027216C">
        <w:t>shared</w:t>
      </w:r>
      <w:proofErr w:type="spellEnd"/>
      <w:r w:rsidRPr="0027216C">
        <w:t xml:space="preserve"> care). Für die Frage, ob ein solches Vorgehen im konkreten Fall sinnvoll und geeignet ist, sollen u</w:t>
      </w:r>
      <w:r w:rsidR="001A5DB3" w:rsidRPr="0027216C">
        <w:t>.</w:t>
      </w:r>
      <w:r w:rsidR="001A5DB3">
        <w:t> </w:t>
      </w:r>
      <w:r w:rsidRPr="0027216C">
        <w:t xml:space="preserve">a. auch mitbedacht werden: Selbstfürsorgemöglichkeiten </w:t>
      </w:r>
      <w:r w:rsidR="00D54EF7">
        <w:t>der behandelten Person</w:t>
      </w:r>
      <w:r w:rsidRPr="0027216C">
        <w:t xml:space="preserve"> bzw. Unterstützungsleitungen durch das Umfeld (u.</w:t>
      </w:r>
      <w:r w:rsidR="00D54EF7">
        <w:t> </w:t>
      </w:r>
      <w:r w:rsidRPr="0027216C">
        <w:t>a. Angehörige, informell Pflegende), Verständnis für die Diagnose und Therapie (Krankheitseinsicht) sowie die Bereitschaft zur Mitarbeit (Therapieadhärenz) seitens der</w:t>
      </w:r>
      <w:r w:rsidR="00D54EF7">
        <w:t xml:space="preserve"> Patientin bzw. des Patienten</w:t>
      </w:r>
      <w:r w:rsidRPr="0027216C">
        <w:t xml:space="preserve"> sowie Angehöriger bzw. informell Pflegender (Ryan 2022; AWMF 2023).</w:t>
      </w:r>
    </w:p>
    <w:p w14:paraId="122D9B5D" w14:textId="0A6B4907" w:rsidR="007E3FAA" w:rsidRPr="0027216C" w:rsidRDefault="00A42038">
      <w:pPr>
        <w:pStyle w:val="Standard0"/>
        <w:spacing w:before="200"/>
      </w:pPr>
      <w:r w:rsidRPr="0027216C">
        <w:t>Sollte die Ursachenbestimmung nicht von dem</w:t>
      </w:r>
      <w:r w:rsidR="001A5DB3">
        <w:t xml:space="preserve"> oder </w:t>
      </w:r>
      <w:r w:rsidRPr="0027216C">
        <w:t xml:space="preserve">der ärztlichen </w:t>
      </w:r>
      <w:proofErr w:type="spellStart"/>
      <w:r w:rsidRPr="0027216C">
        <w:t>Erstbehandler:in</w:t>
      </w:r>
      <w:proofErr w:type="spellEnd"/>
      <w:r w:rsidRPr="0027216C">
        <w:t xml:space="preserve"> selbst durchgeführt werden können, sind die notwendigen Untersuchungen unmittelbar zu veranlassen (vgl. Guest 2017; siehe auch</w:t>
      </w:r>
      <w:r w:rsidR="00C47207">
        <w:t xml:space="preserve"> </w:t>
      </w:r>
      <w:r w:rsidR="00C47207">
        <w:fldChar w:fldCharType="begin"/>
      </w:r>
      <w:r w:rsidR="00C47207">
        <w:instrText xml:space="preserve"> REF _Ref210220037 \h </w:instrText>
      </w:r>
      <w:r w:rsidR="00C47207">
        <w:fldChar w:fldCharType="separate"/>
      </w:r>
      <w:r w:rsidR="00C47207" w:rsidRPr="0027216C">
        <w:t>Empfehlung 4</w:t>
      </w:r>
      <w:r w:rsidR="00C47207">
        <w:fldChar w:fldCharType="end"/>
      </w:r>
      <w:r w:rsidRPr="0027216C">
        <w:t>).</w:t>
      </w:r>
    </w:p>
    <w:p w14:paraId="7D287209" w14:textId="3FFBFC0A" w:rsidR="007E3FAA" w:rsidRPr="0027216C" w:rsidRDefault="00A42038" w:rsidP="00AE5135">
      <w:r w:rsidRPr="0027216C">
        <w:t>Eine routinemäßige Bestimmung von Krankheitserregern ist nicht erforderlich (Falcone 2021</w:t>
      </w:r>
      <w:r w:rsidR="00627200" w:rsidRPr="0027216C">
        <w:t>). W</w:t>
      </w:r>
      <w:r w:rsidRPr="0027216C">
        <w:t>ird eine antimikrobielle Therapie aufgrund einer entsprechenden Indikation erwogen, sollen geeignete Verfahren zur Identifizierung der Krankheitserreger bzw. seiner Empfindlichkeit auf antimikrobielle Substanzen vor Einleitung einer Therapie erfolgen. Hierbei ist ein Augenmerk auf standardisierte Prozesse bei der Probenentnahme (</w:t>
      </w:r>
      <w:r w:rsidR="001C2115" w:rsidRPr="0027216C">
        <w:t xml:space="preserve">bspw. bei der </w:t>
      </w:r>
      <w:r w:rsidR="00844D36" w:rsidRPr="0027216C">
        <w:t xml:space="preserve">Wundreinigung </w:t>
      </w:r>
      <w:r w:rsidR="001C2115" w:rsidRPr="0027216C">
        <w:t xml:space="preserve">oder bei der </w:t>
      </w:r>
      <w:r w:rsidRPr="0027216C">
        <w:t>Entnahmetechnik</w:t>
      </w:r>
      <w:r w:rsidR="000D290F" w:rsidRPr="0027216C">
        <w:t xml:space="preserve"> </w:t>
      </w:r>
      <w:r w:rsidRPr="0027216C">
        <w:t>von Wundabstrichen</w:t>
      </w:r>
      <w:r w:rsidR="001C2115" w:rsidRPr="0027216C">
        <w:t xml:space="preserve"> durch Levine-Technik oder Essener Kreisel</w:t>
      </w:r>
      <w:r w:rsidRPr="0027216C">
        <w:t>) zu legen</w:t>
      </w:r>
      <w:r w:rsidR="008928ED" w:rsidRPr="0027216C">
        <w:t xml:space="preserve"> (</w:t>
      </w:r>
      <w:proofErr w:type="spellStart"/>
      <w:r w:rsidR="008928ED" w:rsidRPr="0027216C">
        <w:t>Stallard</w:t>
      </w:r>
      <w:proofErr w:type="spellEnd"/>
      <w:r w:rsidR="008928ED" w:rsidRPr="0027216C">
        <w:t xml:space="preserve"> 2018)</w:t>
      </w:r>
      <w:r w:rsidR="00627200" w:rsidRPr="0027216C">
        <w:t>.</w:t>
      </w:r>
    </w:p>
    <w:p w14:paraId="13ABC2BA" w14:textId="7F693A33" w:rsidR="007E3FAA" w:rsidRPr="00C47207" w:rsidRDefault="00A42038">
      <w:pPr>
        <w:rPr>
          <w:rFonts w:ascii="Segoe UI Semibold" w:hAnsi="Segoe UI Semibold" w:cs="Segoe UI Semibold"/>
        </w:rPr>
      </w:pPr>
      <w:r w:rsidRPr="00C47207">
        <w:rPr>
          <w:rFonts w:ascii="Segoe UI Semibold" w:hAnsi="Segoe UI Semibold" w:cs="Segoe UI Semibold"/>
        </w:rPr>
        <w:t>Evidenzbasis:</w:t>
      </w:r>
    </w:p>
    <w:p w14:paraId="3F5A0BFF" w14:textId="77777777" w:rsidR="007E3FAA" w:rsidRPr="0027216C" w:rsidRDefault="00A42038">
      <w:pPr>
        <w:spacing w:before="0"/>
        <w:rPr>
          <w:rFonts w:cs="Segoe UI"/>
          <w:b/>
          <w:bCs/>
          <w:szCs w:val="20"/>
        </w:rPr>
      </w:pPr>
      <w:r w:rsidRPr="0027216C">
        <w:rPr>
          <w:rFonts w:cs="Segoe UI"/>
          <w:szCs w:val="20"/>
        </w:rPr>
        <w:t>Für Diagnose und Differentialdiagnose, Beobachtungsstudien in:</w:t>
      </w:r>
    </w:p>
    <w:p w14:paraId="7C8B18D7" w14:textId="4100E2B3" w:rsidR="007E3FAA" w:rsidRPr="0027216C" w:rsidRDefault="00A42038" w:rsidP="00C47207">
      <w:pPr>
        <w:pStyle w:val="Liste1"/>
      </w:pPr>
      <w:r w:rsidRPr="0027216C">
        <w:t xml:space="preserve">AWMF </w:t>
      </w:r>
      <w:r w:rsidR="0038493B">
        <w:t>(</w:t>
      </w:r>
      <w:r w:rsidRPr="0027216C">
        <w:t>2023</w:t>
      </w:r>
      <w:r w:rsidR="0038493B">
        <w:t>)</w:t>
      </w:r>
      <w:r w:rsidRPr="0027216C">
        <w:t>: S3‐Leitlinie Lokaltherapie chronischer Wunden</w:t>
      </w:r>
    </w:p>
    <w:p w14:paraId="7F44DCD3" w14:textId="5A05C96A" w:rsidR="007E3FAA" w:rsidRPr="0027216C" w:rsidRDefault="00A42038" w:rsidP="00C47207">
      <w:pPr>
        <w:pStyle w:val="Liste1"/>
      </w:pPr>
      <w:r w:rsidRPr="0027216C">
        <w:t xml:space="preserve">EPUAP </w:t>
      </w:r>
      <w:r w:rsidR="0038493B">
        <w:t>(</w:t>
      </w:r>
      <w:r w:rsidRPr="0027216C">
        <w:t>2020</w:t>
      </w:r>
      <w:r w:rsidR="0038493B">
        <w:t>)</w:t>
      </w:r>
      <w:r w:rsidRPr="0027216C">
        <w:t>: Prävention und Behandlung von Dekubitus</w:t>
      </w:r>
    </w:p>
    <w:p w14:paraId="1E590A90" w14:textId="1A7F9782" w:rsidR="002708DF" w:rsidRPr="00AE5135" w:rsidRDefault="00A42038" w:rsidP="00DA4DFB">
      <w:pPr>
        <w:pStyle w:val="Liste1"/>
        <w:rPr>
          <w:lang w:val="en-GB"/>
        </w:rPr>
      </w:pPr>
      <w:r w:rsidRPr="00AE5135">
        <w:rPr>
          <w:lang w:val="en-US"/>
        </w:rPr>
        <w:t xml:space="preserve">IWGDF </w:t>
      </w:r>
      <w:r w:rsidR="0038493B" w:rsidRPr="00AE5135">
        <w:rPr>
          <w:lang w:val="en-US"/>
        </w:rPr>
        <w:t>(</w:t>
      </w:r>
      <w:r w:rsidRPr="00AE5135">
        <w:rPr>
          <w:lang w:val="en-US"/>
        </w:rPr>
        <w:t>2023</w:t>
      </w:r>
      <w:r w:rsidR="0038493B" w:rsidRPr="00AE5135">
        <w:rPr>
          <w:lang w:val="en-US"/>
        </w:rPr>
        <w:t>)</w:t>
      </w:r>
      <w:r w:rsidRPr="00AE5135">
        <w:rPr>
          <w:lang w:val="en-US"/>
        </w:rPr>
        <w:t>: Practical guidelines on the prevention and management of diabetes-related foot disease</w:t>
      </w:r>
      <w:r w:rsidR="002708DF" w:rsidRPr="00AE5135">
        <w:rPr>
          <w:lang w:val="en-GB"/>
        </w:rPr>
        <w:br w:type="page"/>
      </w:r>
    </w:p>
    <w:p w14:paraId="08287A30" w14:textId="3342A24C" w:rsidR="007E3FAA" w:rsidRPr="0027216C" w:rsidRDefault="00A42038" w:rsidP="00C47207">
      <w:r w:rsidRPr="0027216C">
        <w:lastRenderedPageBreak/>
        <w:t>Zusätzlich zur Ursachenbestimmung, Beobachtungsstudien in:</w:t>
      </w:r>
    </w:p>
    <w:p w14:paraId="13E44680" w14:textId="2609A9FB" w:rsidR="007E3FAA" w:rsidRPr="0027216C" w:rsidRDefault="00A42038" w:rsidP="00C47207">
      <w:pPr>
        <w:pStyle w:val="Liste1"/>
        <w:rPr>
          <w:rFonts w:cs="Segoe UI"/>
          <w:szCs w:val="20"/>
        </w:rPr>
      </w:pPr>
      <w:r w:rsidRPr="00C47207">
        <w:rPr>
          <w:lang w:val="de-DE"/>
        </w:rPr>
        <w:t>Österreichische</w:t>
      </w:r>
      <w:r w:rsidRPr="00C47207">
        <w:rPr>
          <w:rStyle w:val="Liste1Zchn"/>
        </w:rPr>
        <w:t xml:space="preserve"> Diabetes Gesellschaft </w:t>
      </w:r>
      <w:r w:rsidR="002708DF">
        <w:rPr>
          <w:rStyle w:val="Liste1Zchn"/>
        </w:rPr>
        <w:t>(</w:t>
      </w:r>
      <w:r w:rsidRPr="00C47207">
        <w:rPr>
          <w:rStyle w:val="Liste1Zchn"/>
        </w:rPr>
        <w:t>2023</w:t>
      </w:r>
      <w:r w:rsidR="002708DF">
        <w:rPr>
          <w:rStyle w:val="Liste1Zchn"/>
        </w:rPr>
        <w:t>)</w:t>
      </w:r>
      <w:r w:rsidRPr="00C47207">
        <w:rPr>
          <w:rStyle w:val="Liste1Zchn"/>
        </w:rPr>
        <w:t>: Diabetes mellitus – Anleitungen für die Praxis</w:t>
      </w:r>
      <w:r w:rsidRPr="0027216C">
        <w:rPr>
          <w:rFonts w:cs="Segoe UI"/>
          <w:szCs w:val="20"/>
        </w:rPr>
        <w:t xml:space="preserve"> (Leitlinie)</w:t>
      </w:r>
    </w:p>
    <w:p w14:paraId="377165C8" w14:textId="783456D1" w:rsidR="007E3FAA" w:rsidRPr="0027216C" w:rsidRDefault="00A42038" w:rsidP="00C47207">
      <w:pPr>
        <w:pStyle w:val="Liste1"/>
      </w:pPr>
      <w:bookmarkStart w:id="87" w:name="_Hlk179214048"/>
      <w:r w:rsidRPr="00C47207">
        <w:rPr>
          <w:lang w:val="de-DE"/>
        </w:rPr>
        <w:t>Deutsche</w:t>
      </w:r>
      <w:r w:rsidRPr="0027216C">
        <w:t xml:space="preserve"> Gesellschaft für Angiologie </w:t>
      </w:r>
      <w:r w:rsidR="002708DF">
        <w:t>(</w:t>
      </w:r>
      <w:r w:rsidRPr="0027216C">
        <w:t>2024</w:t>
      </w:r>
      <w:r w:rsidR="002708DF">
        <w:t>)</w:t>
      </w:r>
      <w:r w:rsidRPr="0027216C">
        <w:t>: S3-Leitlinie zur Diagnostik, Therapie und Nachsorge der pAVK</w:t>
      </w:r>
    </w:p>
    <w:bookmarkEnd w:id="87"/>
    <w:p w14:paraId="145A75DC" w14:textId="232BA777" w:rsidR="007E3FAA" w:rsidRPr="0027216C" w:rsidRDefault="00A42038">
      <w:r w:rsidRPr="00C47207">
        <w:rPr>
          <w:rFonts w:ascii="Segoe UI Semibold" w:hAnsi="Segoe UI Semibold" w:cs="Segoe UI Semibold"/>
        </w:rPr>
        <w:t>Evidenzstärke:</w:t>
      </w:r>
      <w:r w:rsidRPr="0027216C">
        <w:t xml:space="preserve"> </w:t>
      </w:r>
      <w:r w:rsidRPr="0027216C">
        <w:rPr>
          <w:bCs/>
        </w:rPr>
        <w:t>mittel</w:t>
      </w:r>
    </w:p>
    <w:p w14:paraId="6D684858" w14:textId="77777777" w:rsidR="007E3FAA" w:rsidRPr="0027216C" w:rsidRDefault="00A42038">
      <w:r w:rsidRPr="00C47207">
        <w:rPr>
          <w:rFonts w:ascii="Segoe UI Semibold" w:hAnsi="Segoe UI Semibold" w:cs="Segoe UI Semibold"/>
        </w:rPr>
        <w:t>Empfehlungsgrad: A</w:t>
      </w:r>
      <w:r w:rsidRPr="0027216C">
        <w:t xml:space="preserve"> </w:t>
      </w:r>
      <w:r w:rsidRPr="0027216C">
        <w:rPr>
          <w:bCs/>
        </w:rPr>
        <w:t>(</w:t>
      </w:r>
      <w:r w:rsidRPr="0027216C">
        <w:t>starke Empfehlung)</w:t>
      </w:r>
    </w:p>
    <w:p w14:paraId="54AC467D" w14:textId="3123C210" w:rsidR="007E3FAA" w:rsidRPr="0027216C" w:rsidRDefault="00A42038">
      <w:pPr>
        <w:rPr>
          <w:b/>
          <w:bCs/>
        </w:rPr>
      </w:pPr>
      <w:r w:rsidRPr="00C47207">
        <w:rPr>
          <w:rFonts w:ascii="Segoe UI Semibold" w:hAnsi="Segoe UI Semibold" w:cs="Segoe UI Semibold"/>
        </w:rPr>
        <w:t xml:space="preserve">Qualitätsindikator: </w:t>
      </w:r>
      <w:r w:rsidR="00AB4EA8" w:rsidRPr="00AB4EA8">
        <w:t>nicht definiert</w:t>
      </w:r>
    </w:p>
    <w:p w14:paraId="70190040" w14:textId="48374AC1" w:rsidR="007E3FAA" w:rsidRPr="0027216C" w:rsidRDefault="00A42038">
      <w:pPr>
        <w:pStyle w:val="berschrift2"/>
        <w:pageBreakBefore/>
      </w:pPr>
      <w:bookmarkStart w:id="88" w:name="_Ref210220037"/>
      <w:bookmarkStart w:id="89" w:name="_Ref210222107"/>
      <w:bookmarkStart w:id="90" w:name="_Ref210222817"/>
      <w:bookmarkStart w:id="91" w:name="_Toc211342072"/>
      <w:r w:rsidRPr="0027216C">
        <w:lastRenderedPageBreak/>
        <w:t xml:space="preserve">Empfehlung 4: </w:t>
      </w:r>
      <w:bookmarkStart w:id="92" w:name="_Hlk179112981"/>
      <w:r w:rsidRPr="0027216C">
        <w:t>Versorgungspfad im Sinne einer abgestuften Versorgung</w:t>
      </w:r>
      <w:bookmarkEnd w:id="88"/>
      <w:bookmarkEnd w:id="89"/>
      <w:bookmarkEnd w:id="90"/>
      <w:bookmarkEnd w:id="92"/>
      <w:bookmarkEnd w:id="91"/>
      <w:r w:rsidRPr="0027216C">
        <w:t xml:space="preserve"> </w:t>
      </w:r>
    </w:p>
    <w:p w14:paraId="0A2B8519" w14:textId="5A7F7014" w:rsidR="007E3FAA" w:rsidRPr="0027216C" w:rsidRDefault="00A42038" w:rsidP="00474B86">
      <w:pPr>
        <w:shd w:val="clear" w:color="auto" w:fill="A0C0D4" w:themeFill="accent2" w:themeFillTint="99"/>
        <w:spacing w:before="0" w:line="240" w:lineRule="auto"/>
        <w:rPr>
          <w:rFonts w:cs="Lucida Sans Unicode"/>
          <w:b/>
          <w:bCs/>
          <w:color w:val="FF0000"/>
        </w:rPr>
      </w:pPr>
      <w:r w:rsidRPr="0027216C">
        <w:rPr>
          <w:noProof/>
          <w:lang w:eastAsia="de-AT" w:bidi="ar-SA"/>
        </w:rPr>
        <w:drawing>
          <wp:anchor distT="0" distB="0" distL="114300" distR="114300" simplePos="0" relativeHeight="251773952" behindDoc="1" locked="0" layoutInCell="1" allowOverlap="1" wp14:anchorId="34022596" wp14:editId="7D0CE1E3">
            <wp:simplePos x="0" y="0"/>
            <wp:positionH relativeFrom="margin">
              <wp:posOffset>-17362</wp:posOffset>
            </wp:positionH>
            <wp:positionV relativeFrom="paragraph">
              <wp:posOffset>100852</wp:posOffset>
            </wp:positionV>
            <wp:extent cx="491490" cy="481330"/>
            <wp:effectExtent l="0" t="0" r="3810" b="0"/>
            <wp:wrapTight wrapText="bothSides">
              <wp:wrapPolygon edited="0">
                <wp:start x="0" y="0"/>
                <wp:lineTo x="0" y="20517"/>
                <wp:lineTo x="20930" y="20517"/>
                <wp:lineTo x="20930" y="0"/>
                <wp:lineTo x="0" y="0"/>
              </wp:wrapPolygon>
            </wp:wrapTight>
            <wp:docPr id="1653653072" name="Grafik 1653653072" descr="Dieses Bild symbolisiert den Patientenp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fik 81" descr="Dieses Bild symbolisiert den Patientenpfa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1490" cy="481330"/>
                    </a:xfrm>
                    <a:prstGeom prst="rect">
                      <a:avLst/>
                    </a:prstGeom>
                  </pic:spPr>
                </pic:pic>
              </a:graphicData>
            </a:graphic>
            <wp14:sizeRelH relativeFrom="page">
              <wp14:pctWidth>0</wp14:pctWidth>
            </wp14:sizeRelH>
            <wp14:sizeRelV relativeFrom="page">
              <wp14:pctHeight>0</wp14:pctHeight>
            </wp14:sizeRelV>
          </wp:anchor>
        </w:drawing>
      </w:r>
      <w:r w:rsidR="007D2A28" w:rsidRPr="00C47207">
        <w:rPr>
          <w:rFonts w:ascii="Segoe UI Semibold" w:hAnsi="Segoe UI Semibold" w:cs="Segoe UI Semibold"/>
        </w:rPr>
        <w:t xml:space="preserve">Die Versorgung von Patientinnen und Patienten mit chronischen Wunden soll von </w:t>
      </w:r>
      <w:proofErr w:type="spellStart"/>
      <w:r w:rsidR="007D2A28" w:rsidRPr="00C47207">
        <w:rPr>
          <w:rFonts w:ascii="Segoe UI Semibold" w:hAnsi="Segoe UI Semibold" w:cs="Segoe UI Semibold"/>
        </w:rPr>
        <w:t>Gesundheitsdiensteanbieterinnen</w:t>
      </w:r>
      <w:proofErr w:type="spellEnd"/>
      <w:r w:rsidR="007D2A28" w:rsidRPr="00C47207">
        <w:rPr>
          <w:rFonts w:ascii="Segoe UI Semibold" w:hAnsi="Segoe UI Semibold" w:cs="Segoe UI Semibold"/>
        </w:rPr>
        <w:t xml:space="preserve"> und -anbietern bzw. Einrichtungen der jeweils geeigneten Wundmanagement</w:t>
      </w:r>
      <w:r w:rsidR="00C074C6">
        <w:rPr>
          <w:rFonts w:ascii="Segoe UI Semibold" w:hAnsi="Segoe UI Semibold" w:cs="Segoe UI Semibold"/>
        </w:rPr>
        <w:t>-S</w:t>
      </w:r>
      <w:r w:rsidR="007D2A28" w:rsidRPr="00910EA6">
        <w:rPr>
          <w:rFonts w:ascii="Segoe UI Semibold" w:hAnsi="Segoe UI Semibold" w:cs="Segoe UI Semibold"/>
        </w:rPr>
        <w:t xml:space="preserve">tufe </w:t>
      </w:r>
      <w:r w:rsidR="007D2A28" w:rsidRPr="00C47207">
        <w:rPr>
          <w:rFonts w:ascii="Segoe UI Semibold" w:hAnsi="Segoe UI Semibold" w:cs="Segoe UI Semibold"/>
        </w:rPr>
        <w:t>durchgeführt werden</w:t>
      </w:r>
      <w:r w:rsidR="007D2A28" w:rsidRPr="00910EA6">
        <w:rPr>
          <w:rFonts w:ascii="Segoe UI Semibold" w:hAnsi="Segoe UI Semibold" w:cs="Segoe UI Semibold"/>
          <w:b/>
          <w:bCs/>
        </w:rPr>
        <w:t xml:space="preserve"> </w:t>
      </w:r>
      <w:r w:rsidRPr="00910EA6">
        <w:rPr>
          <w:rFonts w:ascii="Segoe UI Semibold" w:hAnsi="Segoe UI Semibold" w:cs="Segoe UI Semibold"/>
        </w:rPr>
        <w:t>(</w:t>
      </w:r>
      <w:r w:rsidR="00277DE9" w:rsidRPr="00910EA6">
        <w:rPr>
          <w:rFonts w:ascii="Segoe UI Semibold" w:hAnsi="Segoe UI Semibold" w:cs="Segoe UI Semibold"/>
        </w:rPr>
        <w:t>Stufe</w:t>
      </w:r>
      <w:r w:rsidRPr="00910EA6">
        <w:rPr>
          <w:rFonts w:ascii="Segoe UI Semibold" w:hAnsi="Segoe UI Semibold" w:cs="Segoe UI Semibold"/>
        </w:rPr>
        <w:t>n</w:t>
      </w:r>
      <w:r w:rsidR="00870381" w:rsidRPr="00910EA6">
        <w:rPr>
          <w:rFonts w:ascii="Segoe UI Semibold" w:hAnsi="Segoe UI Semibold" w:cs="Segoe UI Semibold"/>
        </w:rPr>
        <w:t>m</w:t>
      </w:r>
      <w:r w:rsidRPr="00910EA6">
        <w:rPr>
          <w:rFonts w:ascii="Segoe UI Semibold" w:hAnsi="Segoe UI Semibold" w:cs="Segoe UI Semibold"/>
        </w:rPr>
        <w:t>odell und Versorgungspfad im Sinne einer abgestuften und integrierten Versorgung).</w:t>
      </w:r>
    </w:p>
    <w:p w14:paraId="429DCEA6" w14:textId="5CC434D4" w:rsidR="007E3FAA" w:rsidRPr="00C47207" w:rsidRDefault="00A42038">
      <w:pPr>
        <w:spacing w:before="360"/>
        <w:rPr>
          <w:lang w:val="de-DE"/>
        </w:rPr>
      </w:pPr>
      <w:r w:rsidRPr="00C47207">
        <w:rPr>
          <w:rFonts w:ascii="Segoe UI Semibold" w:hAnsi="Segoe UI Semibold" w:cs="Segoe UI Semibold"/>
        </w:rPr>
        <w:t>Hintergrund / weiterführende Information</w:t>
      </w:r>
    </w:p>
    <w:p w14:paraId="3B0D837B" w14:textId="1B73F40E" w:rsidR="007E3FAA" w:rsidRPr="0027216C" w:rsidRDefault="00A42038">
      <w:pPr>
        <w:spacing w:before="120"/>
        <w:rPr>
          <w:lang w:val="de-DE"/>
        </w:rPr>
      </w:pPr>
      <w:r w:rsidRPr="0027216C">
        <w:rPr>
          <w:lang w:val="de-DE"/>
        </w:rPr>
        <w:t xml:space="preserve">Die nachfolgende </w:t>
      </w:r>
      <w:r w:rsidR="00474B86">
        <w:rPr>
          <w:lang w:val="de-DE"/>
        </w:rPr>
        <w:fldChar w:fldCharType="begin"/>
      </w:r>
      <w:r w:rsidR="00474B86">
        <w:rPr>
          <w:lang w:val="de-DE"/>
        </w:rPr>
        <w:instrText xml:space="preserve"> REF _Ref210640300 \h </w:instrText>
      </w:r>
      <w:r w:rsidR="00474B86">
        <w:rPr>
          <w:lang w:val="de-DE"/>
        </w:rPr>
      </w:r>
      <w:r w:rsidR="00474B86">
        <w:rPr>
          <w:lang w:val="de-DE"/>
        </w:rPr>
        <w:fldChar w:fldCharType="separate"/>
      </w:r>
      <w:r w:rsidR="00474B86">
        <w:t xml:space="preserve">Abbildung </w:t>
      </w:r>
      <w:r w:rsidR="00474B86">
        <w:rPr>
          <w:noProof/>
        </w:rPr>
        <w:t>1</w:t>
      </w:r>
      <w:r w:rsidR="00474B86">
        <w:rPr>
          <w:lang w:val="de-DE"/>
        </w:rPr>
        <w:fldChar w:fldCharType="end"/>
      </w:r>
      <w:r w:rsidR="00474B86">
        <w:rPr>
          <w:lang w:val="de-DE"/>
        </w:rPr>
        <w:t xml:space="preserve"> </w:t>
      </w:r>
      <w:r w:rsidRPr="0027216C">
        <w:rPr>
          <w:lang w:val="de-DE"/>
        </w:rPr>
        <w:t>zeigt für drei Wundmanagement</w:t>
      </w:r>
      <w:r w:rsidR="00910EA6">
        <w:rPr>
          <w:lang w:val="de-DE"/>
        </w:rPr>
        <w:t>-S</w:t>
      </w:r>
      <w:r w:rsidR="00277DE9" w:rsidRPr="0027216C">
        <w:rPr>
          <w:lang w:val="de-DE"/>
        </w:rPr>
        <w:t>tufe</w:t>
      </w:r>
      <w:r w:rsidRPr="0027216C">
        <w:rPr>
          <w:lang w:val="de-DE"/>
        </w:rPr>
        <w:t xml:space="preserve">n zentrale Aufgaben und Leistungen im Rahmen der abgestuften Versorgung von </w:t>
      </w:r>
      <w:r w:rsidR="00F445B7" w:rsidRPr="00F445B7">
        <w:rPr>
          <w:lang w:val="de-DE"/>
        </w:rPr>
        <w:t xml:space="preserve">Patientinnen und Patienten </w:t>
      </w:r>
      <w:r w:rsidRPr="0027216C">
        <w:rPr>
          <w:lang w:val="de-DE"/>
        </w:rPr>
        <w:t>mit chronischen Wunden sowie mögliche Orte der Leistungserbringung. Wundmanagement-Expertise meint hierbei, dass entweder eine entsprechende Weiterbildung</w:t>
      </w:r>
      <w:r w:rsidR="00851071" w:rsidRPr="0027216C">
        <w:rPr>
          <w:lang w:val="de-DE"/>
        </w:rPr>
        <w:t>/Spezialisierung</w:t>
      </w:r>
      <w:r w:rsidRPr="0027216C">
        <w:rPr>
          <w:color w:val="00B050"/>
          <w:lang w:val="de-DE"/>
        </w:rPr>
        <w:t xml:space="preserve"> </w:t>
      </w:r>
      <w:r w:rsidRPr="0027216C">
        <w:rPr>
          <w:lang w:val="de-DE"/>
        </w:rPr>
        <w:t xml:space="preserve">(z. B. ÖÄK-Zertifikat Ärztliche Wundbehandlung, </w:t>
      </w:r>
      <w:r w:rsidR="006F4943" w:rsidRPr="0027216C">
        <w:t>DGKP mit Weiterbildung Wundmanagement</w:t>
      </w:r>
      <w:r w:rsidR="00803351" w:rsidRPr="0027216C">
        <w:rPr>
          <w:lang w:val="de-DE"/>
        </w:rPr>
        <w:t>, Weiterbildung</w:t>
      </w:r>
      <w:r w:rsidR="00045FF4" w:rsidRPr="0027216C">
        <w:rPr>
          <w:lang w:val="de-DE"/>
        </w:rPr>
        <w:t>en</w:t>
      </w:r>
      <w:r w:rsidR="00803351" w:rsidRPr="0027216C">
        <w:rPr>
          <w:lang w:val="de-DE"/>
        </w:rPr>
        <w:t>/Spezialisierung</w:t>
      </w:r>
      <w:r w:rsidR="00045FF4" w:rsidRPr="0027216C">
        <w:rPr>
          <w:lang w:val="de-DE"/>
        </w:rPr>
        <w:t>en</w:t>
      </w:r>
      <w:r w:rsidR="00803351" w:rsidRPr="0027216C">
        <w:rPr>
          <w:lang w:val="de-DE"/>
        </w:rPr>
        <w:t xml:space="preserve"> gemäß </w:t>
      </w:r>
      <w:r w:rsidR="00496898" w:rsidRPr="0027216C">
        <w:rPr>
          <w:lang w:val="de-DE"/>
        </w:rPr>
        <w:t>§§</w:t>
      </w:r>
      <w:r w:rsidR="00496898">
        <w:rPr>
          <w:lang w:val="de-DE"/>
        </w:rPr>
        <w:t> </w:t>
      </w:r>
      <w:r w:rsidR="00803351" w:rsidRPr="0027216C">
        <w:rPr>
          <w:lang w:val="de-DE"/>
        </w:rPr>
        <w:t>17</w:t>
      </w:r>
      <w:r w:rsidR="002A3E75" w:rsidRPr="0027216C">
        <w:rPr>
          <w:lang w:val="de-DE"/>
        </w:rPr>
        <w:t xml:space="preserve"> und</w:t>
      </w:r>
      <w:r w:rsidR="00803351" w:rsidRPr="0027216C">
        <w:rPr>
          <w:lang w:val="de-DE"/>
        </w:rPr>
        <w:t xml:space="preserve"> </w:t>
      </w:r>
      <w:r w:rsidR="002A3E75" w:rsidRPr="0027216C">
        <w:rPr>
          <w:lang w:val="de-DE"/>
        </w:rPr>
        <w:t xml:space="preserve">22a </w:t>
      </w:r>
      <w:r w:rsidR="00803351" w:rsidRPr="0027216C">
        <w:rPr>
          <w:lang w:val="de-DE"/>
        </w:rPr>
        <w:t>G</w:t>
      </w:r>
      <w:r w:rsidR="004D461A" w:rsidRPr="0027216C">
        <w:rPr>
          <w:lang w:val="de-DE"/>
        </w:rPr>
        <w:t>u</w:t>
      </w:r>
      <w:r w:rsidR="00803351" w:rsidRPr="0027216C">
        <w:rPr>
          <w:lang w:val="de-DE"/>
        </w:rPr>
        <w:t>KG</w:t>
      </w:r>
      <w:r w:rsidRPr="0027216C">
        <w:rPr>
          <w:lang w:val="de-DE"/>
        </w:rPr>
        <w:t xml:space="preserve">) oder eine entsprechende Facharztausbildung (für </w:t>
      </w:r>
      <w:r w:rsidR="00844D36" w:rsidRPr="0027216C">
        <w:rPr>
          <w:lang w:val="de-DE"/>
        </w:rPr>
        <w:t>Allgemein</w:t>
      </w:r>
      <w:r w:rsidR="005B65F7" w:rsidRPr="0027216C">
        <w:rPr>
          <w:lang w:val="de-DE"/>
        </w:rPr>
        <w:t>- und Familien</w:t>
      </w:r>
      <w:r w:rsidR="00844D36" w:rsidRPr="0027216C">
        <w:rPr>
          <w:lang w:val="de-DE"/>
        </w:rPr>
        <w:t xml:space="preserve">medizin, </w:t>
      </w:r>
      <w:r w:rsidR="001F30A9" w:rsidRPr="0027216C">
        <w:rPr>
          <w:lang w:val="de-DE"/>
        </w:rPr>
        <w:t>I</w:t>
      </w:r>
      <w:r w:rsidR="00CA37FB" w:rsidRPr="0027216C">
        <w:rPr>
          <w:lang w:val="de-DE"/>
        </w:rPr>
        <w:t>nnere Medizin</w:t>
      </w:r>
      <w:r w:rsidR="001F30A9" w:rsidRPr="0027216C">
        <w:rPr>
          <w:lang w:val="de-DE"/>
        </w:rPr>
        <w:t xml:space="preserve"> mit entsprechendem Sonderfach</w:t>
      </w:r>
      <w:r w:rsidR="00CA37FB" w:rsidRPr="0027216C">
        <w:rPr>
          <w:lang w:val="de-DE"/>
        </w:rPr>
        <w:t xml:space="preserve">, </w:t>
      </w:r>
      <w:r w:rsidRPr="0027216C">
        <w:rPr>
          <w:lang w:val="de-DE"/>
        </w:rPr>
        <w:t>Haut- und Geschlechtskrankheiten oder für Chirurgie</w:t>
      </w:r>
      <w:r w:rsidR="00CA37FB" w:rsidRPr="0027216C">
        <w:rPr>
          <w:lang w:val="de-DE"/>
        </w:rPr>
        <w:t xml:space="preserve"> und </w:t>
      </w:r>
      <w:r w:rsidR="00F74051" w:rsidRPr="0027216C">
        <w:rPr>
          <w:lang w:val="de-DE"/>
        </w:rPr>
        <w:t>Plastische, Rekonstruktive und Ästhetische Chirurgie</w:t>
      </w:r>
      <w:r w:rsidRPr="0027216C">
        <w:rPr>
          <w:lang w:val="de-DE"/>
        </w:rPr>
        <w:t>) absolviert wurde.</w:t>
      </w:r>
    </w:p>
    <w:p w14:paraId="5CA0FC57" w14:textId="5F8F784A" w:rsidR="00166F2C" w:rsidRPr="00474B86" w:rsidRDefault="00474B86" w:rsidP="00474B86">
      <w:pPr>
        <w:pStyle w:val="Beschriftung"/>
      </w:pPr>
      <w:bookmarkStart w:id="93" w:name="_Ref210640300"/>
      <w:r w:rsidRPr="0027216C">
        <w:rPr>
          <w:b/>
          <w:bCs w:val="0"/>
          <w:noProof/>
          <w:lang w:val="de-DE"/>
        </w:rPr>
        <w:drawing>
          <wp:anchor distT="0" distB="0" distL="114300" distR="114300" simplePos="0" relativeHeight="251800576" behindDoc="0" locked="0" layoutInCell="1" allowOverlap="1" wp14:anchorId="087438EE" wp14:editId="422B4ACE">
            <wp:simplePos x="0" y="0"/>
            <wp:positionH relativeFrom="margin">
              <wp:align>center</wp:align>
            </wp:positionH>
            <wp:positionV relativeFrom="paragraph">
              <wp:posOffset>612775</wp:posOffset>
            </wp:positionV>
            <wp:extent cx="5276850" cy="4221480"/>
            <wp:effectExtent l="0" t="0" r="0" b="7620"/>
            <wp:wrapTopAndBottom/>
            <wp:docPr id="802308008" name="Grafik 6" descr="Abbildung 1 stellt die Wundmanagement-Stufen im Rahmen der abgestuften Versorgung von Patientinnen und Patienten mit chronischen Wunden grafisch 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08008" name="Grafik 6" descr="Abbildung 1 stellt die Wundmanagement-Stufen im Rahmen der abgestuften Versorgung von Patientinnen und Patienten mit chronischen Wunden grafisch da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76850" cy="4221480"/>
                    </a:xfrm>
                    <a:prstGeom prst="rect">
                      <a:avLst/>
                    </a:prstGeom>
                    <a:noFill/>
                  </pic:spPr>
                </pic:pic>
              </a:graphicData>
            </a:graphic>
            <wp14:sizeRelH relativeFrom="page">
              <wp14:pctWidth>0</wp14:pctWidth>
            </wp14:sizeRelH>
            <wp14:sizeRelV relativeFrom="page">
              <wp14:pctHeight>0</wp14:pctHeight>
            </wp14:sizeRelV>
          </wp:anchor>
        </w:drawing>
      </w:r>
      <w:r>
        <w:t xml:space="preserve">Abbildung </w:t>
      </w:r>
      <w:fldSimple w:instr=" SEQ Abbildung \* ARABIC ">
        <w:r w:rsidR="003752C4">
          <w:rPr>
            <w:noProof/>
          </w:rPr>
          <w:t>1</w:t>
        </w:r>
      </w:fldSimple>
      <w:bookmarkEnd w:id="93"/>
      <w:r w:rsidR="00B30419" w:rsidRPr="00474B86">
        <w:t>: Wundmanagement-</w:t>
      </w:r>
      <w:r w:rsidR="00277DE9" w:rsidRPr="00474B86">
        <w:t>Stufe</w:t>
      </w:r>
      <w:r w:rsidR="00B30419" w:rsidRPr="00474B86">
        <w:t xml:space="preserve">n im Rahmen der abgestuften Versorgung von </w:t>
      </w:r>
      <w:r w:rsidR="00F445B7" w:rsidRPr="00474B86">
        <w:t xml:space="preserve">Patientinnen und Patienten </w:t>
      </w:r>
      <w:r w:rsidR="00B30419" w:rsidRPr="00474B86">
        <w:t>mit chronischen Wunden</w:t>
      </w:r>
    </w:p>
    <w:p w14:paraId="15BB0EEB" w14:textId="1BB6CA41" w:rsidR="00B30419" w:rsidRPr="0027216C" w:rsidRDefault="00B30419" w:rsidP="00B30419">
      <w:pPr>
        <w:pStyle w:val="Beschriftung-Quelle"/>
      </w:pPr>
      <w:r w:rsidRPr="0027216C">
        <w:t xml:space="preserve">Quelle: </w:t>
      </w:r>
      <w:proofErr w:type="gramStart"/>
      <w:r w:rsidRPr="0027216C">
        <w:t>Oberösterreichischer</w:t>
      </w:r>
      <w:proofErr w:type="gramEnd"/>
      <w:r w:rsidRPr="0027216C">
        <w:t xml:space="preserve"> Gesundheitsfond</w:t>
      </w:r>
      <w:r w:rsidR="00496898">
        <w:t>s</w:t>
      </w:r>
      <w:r w:rsidR="00755ABB">
        <w:t xml:space="preserve"> </w:t>
      </w:r>
      <w:r w:rsidRPr="0027216C">
        <w:t>/</w:t>
      </w:r>
      <w:r w:rsidR="00755ABB">
        <w:t xml:space="preserve"> </w:t>
      </w:r>
      <w:r w:rsidRPr="0027216C">
        <w:t xml:space="preserve">ÖGK </w:t>
      </w:r>
      <w:r w:rsidR="00496898">
        <w:t>(</w:t>
      </w:r>
      <w:r w:rsidRPr="0027216C">
        <w:t>2021</w:t>
      </w:r>
      <w:r w:rsidR="004A4D5A">
        <w:t xml:space="preserve">, </w:t>
      </w:r>
      <w:r w:rsidR="0075549C" w:rsidRPr="0027216C">
        <w:t>unveröffentlicht)</w:t>
      </w:r>
      <w:r w:rsidR="00496898">
        <w:t xml:space="preserve">; </w:t>
      </w:r>
      <w:r w:rsidR="00496898" w:rsidRPr="0027216C">
        <w:t xml:space="preserve">Darstellung: GÖG </w:t>
      </w:r>
      <w:r w:rsidR="00496898">
        <w:t>(</w:t>
      </w:r>
      <w:r w:rsidR="00496898" w:rsidRPr="0027216C">
        <w:t>2024</w:t>
      </w:r>
      <w:r w:rsidR="00496898">
        <w:t>)</w:t>
      </w:r>
    </w:p>
    <w:p w14:paraId="1079E2F9" w14:textId="3ED6F672" w:rsidR="007E3FAA" w:rsidRPr="0027216C" w:rsidRDefault="00277DE9" w:rsidP="004E7AF6">
      <w:pPr>
        <w:rPr>
          <w:lang w:val="de-DE"/>
        </w:rPr>
      </w:pPr>
      <w:r w:rsidRPr="00910EA6">
        <w:rPr>
          <w:rFonts w:ascii="Segoe UI Semibold" w:hAnsi="Segoe UI Semibold" w:cs="Segoe UI Semibold"/>
          <w:lang w:val="de-DE"/>
        </w:rPr>
        <w:lastRenderedPageBreak/>
        <w:t>Stufe</w:t>
      </w:r>
      <w:r w:rsidR="004E7AF6" w:rsidRPr="00910EA6">
        <w:rPr>
          <w:rFonts w:ascii="Segoe UI Semibold" w:hAnsi="Segoe UI Semibold" w:cs="Segoe UI Semibold"/>
          <w:lang w:val="de-DE"/>
        </w:rPr>
        <w:t> </w:t>
      </w:r>
      <w:r w:rsidR="00A42038" w:rsidRPr="00910EA6">
        <w:rPr>
          <w:rFonts w:ascii="Segoe UI Semibold" w:hAnsi="Segoe UI Semibold" w:cs="Segoe UI Semibold"/>
          <w:lang w:val="de-DE"/>
        </w:rPr>
        <w:t>1</w:t>
      </w:r>
      <w:r w:rsidR="00A42038" w:rsidRPr="0027216C">
        <w:rPr>
          <w:lang w:val="de-DE"/>
        </w:rPr>
        <w:t xml:space="preserve"> umfasst GDA im extramuralen Bereich </w:t>
      </w:r>
      <w:r w:rsidR="00A42038" w:rsidRPr="00910EA6">
        <w:rPr>
          <w:rFonts w:ascii="Segoe UI Semibold" w:hAnsi="Segoe UI Semibold" w:cs="Segoe UI Semibold"/>
          <w:lang w:val="de-DE"/>
        </w:rPr>
        <w:t>ohne explizite Wundmanagement-Expertise</w:t>
      </w:r>
      <w:r w:rsidR="00A42038" w:rsidRPr="0027216C">
        <w:rPr>
          <w:lang w:val="de-DE"/>
        </w:rPr>
        <w:t xml:space="preserve">. Diese stellen die erste Anlaufstelle für </w:t>
      </w:r>
      <w:r w:rsidR="00F445B7" w:rsidRPr="00F445B7">
        <w:rPr>
          <w:lang w:val="de-DE"/>
        </w:rPr>
        <w:t xml:space="preserve">Patientinnen und Patienten </w:t>
      </w:r>
      <w:r w:rsidR="00A42038" w:rsidRPr="0027216C">
        <w:rPr>
          <w:lang w:val="de-DE"/>
        </w:rPr>
        <w:t xml:space="preserve">mit Wunden dar. Zu den Aufgaben der </w:t>
      </w:r>
      <w:r w:rsidRPr="0027216C">
        <w:rPr>
          <w:lang w:val="de-DE"/>
        </w:rPr>
        <w:t>Stufe</w:t>
      </w:r>
      <w:r w:rsidR="004E7AF6" w:rsidRPr="0027216C">
        <w:rPr>
          <w:lang w:val="de-DE"/>
        </w:rPr>
        <w:t> </w:t>
      </w:r>
      <w:r w:rsidR="00A42038" w:rsidRPr="0027216C">
        <w:rPr>
          <w:lang w:val="de-DE"/>
        </w:rPr>
        <w:t>1 zählen die Begutachtung des Lokalbefunds, die Abklärung und Diagnose etwaiger Grunderkrankungen sowie die Einleitung der Therapie. Ebenfalls soll der (von Ärztinnen</w:t>
      </w:r>
      <w:r w:rsidR="009A35D2" w:rsidRPr="0027216C">
        <w:rPr>
          <w:lang w:val="de-DE"/>
        </w:rPr>
        <w:t xml:space="preserve"> </w:t>
      </w:r>
      <w:r w:rsidR="00F445B7">
        <w:rPr>
          <w:lang w:val="de-DE"/>
        </w:rPr>
        <w:t>und Ärzten sowie</w:t>
      </w:r>
      <w:r w:rsidR="009A35D2" w:rsidRPr="0027216C">
        <w:rPr>
          <w:lang w:val="de-DE"/>
        </w:rPr>
        <w:t xml:space="preserve"> weiteren GDA </w:t>
      </w:r>
      <w:r w:rsidR="00A42038" w:rsidRPr="0027216C">
        <w:rPr>
          <w:lang w:val="de-DE"/>
        </w:rPr>
        <w:t xml:space="preserve">mit Wundmanagement-Expertise aus </w:t>
      </w:r>
      <w:r w:rsidRPr="0027216C">
        <w:rPr>
          <w:lang w:val="de-DE"/>
        </w:rPr>
        <w:t>Stufe</w:t>
      </w:r>
      <w:r w:rsidR="004E7AF6" w:rsidRPr="0027216C">
        <w:rPr>
          <w:lang w:val="de-DE"/>
        </w:rPr>
        <w:t> </w:t>
      </w:r>
      <w:r w:rsidR="00A42038" w:rsidRPr="0027216C">
        <w:rPr>
          <w:lang w:val="de-DE"/>
        </w:rPr>
        <w:t xml:space="preserve">2 oder 3) erstellte </w:t>
      </w:r>
      <w:r w:rsidR="009A35D2" w:rsidRPr="0027216C">
        <w:rPr>
          <w:lang w:val="de-DE"/>
        </w:rPr>
        <w:t>interprofessi</w:t>
      </w:r>
      <w:r w:rsidR="0074461A" w:rsidRPr="0027216C">
        <w:rPr>
          <w:lang w:val="de-DE"/>
        </w:rPr>
        <w:t>o</w:t>
      </w:r>
      <w:r w:rsidR="009A35D2" w:rsidRPr="0027216C">
        <w:rPr>
          <w:lang w:val="de-DE"/>
        </w:rPr>
        <w:t>nell</w:t>
      </w:r>
      <w:r w:rsidR="0074461A" w:rsidRPr="0027216C">
        <w:rPr>
          <w:lang w:val="de-DE"/>
        </w:rPr>
        <w:t>e</w:t>
      </w:r>
      <w:r w:rsidR="009A35D2" w:rsidRPr="0027216C">
        <w:rPr>
          <w:lang w:val="de-DE"/>
        </w:rPr>
        <w:t xml:space="preserve"> </w:t>
      </w:r>
      <w:r w:rsidR="00A42038" w:rsidRPr="0027216C">
        <w:rPr>
          <w:lang w:val="de-DE"/>
        </w:rPr>
        <w:t xml:space="preserve">Behandlungsplan in der </w:t>
      </w:r>
      <w:r w:rsidRPr="0027216C">
        <w:rPr>
          <w:lang w:val="de-DE"/>
        </w:rPr>
        <w:t>Stufe</w:t>
      </w:r>
      <w:r w:rsidR="004E7AF6" w:rsidRPr="0027216C">
        <w:rPr>
          <w:lang w:val="de-DE"/>
        </w:rPr>
        <w:t> </w:t>
      </w:r>
      <w:r w:rsidR="00A42038" w:rsidRPr="0027216C">
        <w:rPr>
          <w:lang w:val="de-DE"/>
        </w:rPr>
        <w:t>1 umgesetzt werden</w:t>
      </w:r>
      <w:r w:rsidR="0074461A" w:rsidRPr="0027216C">
        <w:rPr>
          <w:lang w:val="de-DE"/>
        </w:rPr>
        <w:t>.</w:t>
      </w:r>
      <w:r w:rsidR="00A42038" w:rsidRPr="0027216C">
        <w:rPr>
          <w:lang w:val="de-DE"/>
        </w:rPr>
        <w:t xml:space="preserve"> Heilbehelfe und Hilfsmittel sowie im Anlassfall eine medizinische Hauskrankenpflege </w:t>
      </w:r>
      <w:r w:rsidR="0074461A" w:rsidRPr="0027216C">
        <w:rPr>
          <w:lang w:val="de-DE"/>
        </w:rPr>
        <w:t xml:space="preserve">sollen </w:t>
      </w:r>
      <w:r w:rsidR="00A42038" w:rsidRPr="0027216C">
        <w:rPr>
          <w:lang w:val="de-DE"/>
        </w:rPr>
        <w:t xml:space="preserve">organisiert werden. </w:t>
      </w:r>
      <w:r w:rsidR="0074461A" w:rsidRPr="0027216C">
        <w:rPr>
          <w:lang w:val="de-DE"/>
        </w:rPr>
        <w:t xml:space="preserve">Ebenso zählen </w:t>
      </w:r>
      <w:r w:rsidR="009A35D2" w:rsidRPr="00F445B7">
        <w:rPr>
          <w:lang w:val="de-DE"/>
        </w:rPr>
        <w:t>I</w:t>
      </w:r>
      <w:r w:rsidR="00A42038" w:rsidRPr="00F445B7">
        <w:rPr>
          <w:lang w:val="de-DE"/>
        </w:rPr>
        <w:t>nformation</w:t>
      </w:r>
      <w:r w:rsidR="00495CD5" w:rsidRPr="00F445B7">
        <w:rPr>
          <w:lang w:val="de-DE"/>
        </w:rPr>
        <w:t>,</w:t>
      </w:r>
      <w:r w:rsidR="00A42038" w:rsidRPr="0027216C">
        <w:rPr>
          <w:color w:val="00B050"/>
          <w:lang w:val="de-DE"/>
        </w:rPr>
        <w:t xml:space="preserve"> </w:t>
      </w:r>
      <w:r w:rsidR="00977267" w:rsidRPr="0027216C">
        <w:rPr>
          <w:lang w:val="de-DE"/>
        </w:rPr>
        <w:t>Ed</w:t>
      </w:r>
      <w:r w:rsidR="00A42038" w:rsidRPr="0027216C">
        <w:rPr>
          <w:lang w:val="de-DE"/>
        </w:rPr>
        <w:t xml:space="preserve">ukation </w:t>
      </w:r>
      <w:r w:rsidR="00495CD5" w:rsidRPr="0027216C">
        <w:rPr>
          <w:lang w:val="de-DE"/>
        </w:rPr>
        <w:t xml:space="preserve">und Beratung </w:t>
      </w:r>
      <w:r w:rsidR="00A42038" w:rsidRPr="0027216C">
        <w:rPr>
          <w:lang w:val="de-DE"/>
        </w:rPr>
        <w:t xml:space="preserve">der </w:t>
      </w:r>
      <w:r w:rsidR="00F445B7" w:rsidRPr="00F445B7">
        <w:rPr>
          <w:lang w:val="de-DE"/>
        </w:rPr>
        <w:t xml:space="preserve">Patientinnen und Patienten </w:t>
      </w:r>
      <w:r w:rsidR="00A42038" w:rsidRPr="0027216C">
        <w:rPr>
          <w:lang w:val="de-DE"/>
        </w:rPr>
        <w:t>und/oder deren An- und Zugehörigen</w:t>
      </w:r>
      <w:r w:rsidR="0074461A" w:rsidRPr="0027216C">
        <w:rPr>
          <w:lang w:val="de-DE"/>
        </w:rPr>
        <w:t xml:space="preserve"> </w:t>
      </w:r>
      <w:r w:rsidR="00A42038" w:rsidRPr="0027216C">
        <w:rPr>
          <w:lang w:val="de-DE"/>
        </w:rPr>
        <w:t xml:space="preserve">zu den Aufgaben der GDA der </w:t>
      </w:r>
      <w:r w:rsidRPr="0027216C">
        <w:t>Stufe</w:t>
      </w:r>
      <w:r w:rsidR="004E7AF6" w:rsidRPr="0027216C">
        <w:t> </w:t>
      </w:r>
      <w:r w:rsidR="00A42038" w:rsidRPr="0027216C">
        <w:t>1</w:t>
      </w:r>
      <w:r w:rsidR="00A42038" w:rsidRPr="0027216C">
        <w:rPr>
          <w:lang w:val="de-DE"/>
        </w:rPr>
        <w:t xml:space="preserve"> (siehe</w:t>
      </w:r>
      <w:r w:rsidR="00C705A3">
        <w:rPr>
          <w:lang w:val="de-DE"/>
        </w:rPr>
        <w:t xml:space="preserve"> </w:t>
      </w:r>
      <w:r w:rsidR="00C705A3">
        <w:rPr>
          <w:lang w:val="de-DE"/>
        </w:rPr>
        <w:fldChar w:fldCharType="begin"/>
      </w:r>
      <w:r w:rsidR="00C705A3">
        <w:rPr>
          <w:lang w:val="de-DE"/>
        </w:rPr>
        <w:instrText xml:space="preserve"> REF _Ref210220382 \h </w:instrText>
      </w:r>
      <w:r w:rsidR="00C705A3">
        <w:rPr>
          <w:lang w:val="de-DE"/>
        </w:rPr>
      </w:r>
      <w:r w:rsidR="00C705A3">
        <w:rPr>
          <w:lang w:val="de-DE"/>
        </w:rPr>
        <w:fldChar w:fldCharType="separate"/>
      </w:r>
      <w:r w:rsidR="00C705A3" w:rsidRPr="0027216C">
        <w:t>Empfehlung 9</w:t>
      </w:r>
      <w:r w:rsidR="00C705A3">
        <w:rPr>
          <w:lang w:val="de-DE"/>
        </w:rPr>
        <w:fldChar w:fldCharType="end"/>
      </w:r>
      <w:r w:rsidR="00A42038" w:rsidRPr="0027216C">
        <w:rPr>
          <w:lang w:val="de-DE"/>
        </w:rPr>
        <w:t>).</w:t>
      </w:r>
    </w:p>
    <w:p w14:paraId="2F052367" w14:textId="717283BD" w:rsidR="007E3FAA" w:rsidRPr="0027216C" w:rsidRDefault="00277DE9">
      <w:pPr>
        <w:rPr>
          <w:lang w:val="de-DE"/>
        </w:rPr>
      </w:pPr>
      <w:r w:rsidRPr="00910EA6">
        <w:rPr>
          <w:rFonts w:ascii="Segoe UI Semibold" w:hAnsi="Segoe UI Semibold" w:cs="Segoe UI Semibold"/>
          <w:lang w:val="de-DE"/>
        </w:rPr>
        <w:t>Stufe</w:t>
      </w:r>
      <w:r w:rsidR="004E7AF6" w:rsidRPr="00910EA6">
        <w:rPr>
          <w:rFonts w:ascii="Segoe UI Semibold" w:hAnsi="Segoe UI Semibold" w:cs="Segoe UI Semibold"/>
          <w:lang w:val="de-DE"/>
        </w:rPr>
        <w:t> </w:t>
      </w:r>
      <w:r w:rsidR="00A42038" w:rsidRPr="00910EA6">
        <w:rPr>
          <w:rFonts w:ascii="Segoe UI Semibold" w:hAnsi="Segoe UI Semibold" w:cs="Segoe UI Semibold"/>
          <w:lang w:val="de-DE"/>
        </w:rPr>
        <w:t>2</w:t>
      </w:r>
      <w:r w:rsidR="00A42038" w:rsidRPr="0027216C">
        <w:rPr>
          <w:lang w:val="de-DE"/>
        </w:rPr>
        <w:t xml:space="preserve"> bezieht sich auf GDA </w:t>
      </w:r>
      <w:r w:rsidR="00A42038" w:rsidRPr="00910EA6">
        <w:rPr>
          <w:rFonts w:ascii="Segoe UI Semibold" w:hAnsi="Segoe UI Semibold" w:cs="Segoe UI Semibold"/>
          <w:lang w:val="de-DE"/>
        </w:rPr>
        <w:t>mit</w:t>
      </w:r>
      <w:r w:rsidR="00A42038" w:rsidRPr="0027216C">
        <w:rPr>
          <w:b/>
          <w:bCs/>
          <w:lang w:val="de-DE"/>
        </w:rPr>
        <w:t xml:space="preserve"> </w:t>
      </w:r>
      <w:r w:rsidR="00A42038" w:rsidRPr="00910EA6">
        <w:rPr>
          <w:rFonts w:ascii="Segoe UI Semibold" w:hAnsi="Segoe UI Semibold" w:cs="Segoe UI Semibold"/>
          <w:lang w:val="de-DE"/>
        </w:rPr>
        <w:t>expliziter Wundmanagement-Expertise</w:t>
      </w:r>
      <w:r w:rsidR="00A42038" w:rsidRPr="0027216C">
        <w:rPr>
          <w:lang w:val="de-DE"/>
        </w:rPr>
        <w:t xml:space="preserve">. In der </w:t>
      </w:r>
      <w:r w:rsidRPr="0027216C">
        <w:rPr>
          <w:lang w:val="de-DE"/>
        </w:rPr>
        <w:t>Stufe</w:t>
      </w:r>
      <w:r w:rsidR="004E7AF6" w:rsidRPr="0027216C">
        <w:rPr>
          <w:lang w:val="de-DE"/>
        </w:rPr>
        <w:t> </w:t>
      </w:r>
      <w:r w:rsidR="00A42038" w:rsidRPr="0027216C">
        <w:rPr>
          <w:lang w:val="de-DE"/>
        </w:rPr>
        <w:t xml:space="preserve">2 soll die weiterführende (differenzierte) Diagnostik durchgeführt werden, ein </w:t>
      </w:r>
      <w:r w:rsidR="0074461A" w:rsidRPr="0027216C">
        <w:rPr>
          <w:lang w:val="de-DE"/>
        </w:rPr>
        <w:t xml:space="preserve">interprofessioneller </w:t>
      </w:r>
      <w:r w:rsidR="00A42038" w:rsidRPr="0027216C">
        <w:rPr>
          <w:lang w:val="de-DE"/>
        </w:rPr>
        <w:t>Behandlungsplan erstellt (siehe</w:t>
      </w:r>
      <w:r w:rsidR="00FF4357">
        <w:rPr>
          <w:lang w:val="de-DE"/>
        </w:rPr>
        <w:t xml:space="preserve"> </w:t>
      </w:r>
      <w:r w:rsidR="00FF4357">
        <w:rPr>
          <w:lang w:val="de-DE"/>
        </w:rPr>
        <w:fldChar w:fldCharType="begin"/>
      </w:r>
      <w:r w:rsidR="00FF4357">
        <w:rPr>
          <w:lang w:val="de-DE"/>
        </w:rPr>
        <w:instrText xml:space="preserve"> REF _Ref204169747 \h </w:instrText>
      </w:r>
      <w:r w:rsidR="00FF4357">
        <w:rPr>
          <w:lang w:val="de-DE"/>
        </w:rPr>
      </w:r>
      <w:r w:rsidR="00FF4357">
        <w:rPr>
          <w:lang w:val="de-DE"/>
        </w:rPr>
        <w:fldChar w:fldCharType="separate"/>
      </w:r>
      <w:r w:rsidR="00FF4357" w:rsidRPr="0027216C">
        <w:t>Empfehlung 5</w:t>
      </w:r>
      <w:r w:rsidR="00FF4357">
        <w:rPr>
          <w:lang w:val="de-DE"/>
        </w:rPr>
        <w:fldChar w:fldCharType="end"/>
      </w:r>
      <w:r w:rsidR="00A42038" w:rsidRPr="0027216C">
        <w:rPr>
          <w:lang w:val="de-DE"/>
        </w:rPr>
        <w:t>) und gegebenenfalls umgesetzt werden (siehe</w:t>
      </w:r>
      <w:r w:rsidR="003752C4">
        <w:rPr>
          <w:lang w:val="de-DE"/>
        </w:rPr>
        <w:fldChar w:fldCharType="begin"/>
      </w:r>
      <w:r w:rsidR="003752C4">
        <w:rPr>
          <w:lang w:val="de-DE"/>
        </w:rPr>
        <w:instrText xml:space="preserve"> REF _Ref210640410 \h </w:instrText>
      </w:r>
      <w:r w:rsidR="003752C4">
        <w:rPr>
          <w:lang w:val="de-DE"/>
        </w:rPr>
      </w:r>
      <w:r w:rsidR="003752C4">
        <w:rPr>
          <w:lang w:val="de-DE"/>
        </w:rPr>
        <w:fldChar w:fldCharType="separate"/>
      </w:r>
      <w:r w:rsidR="003752C4">
        <w:t xml:space="preserve">Abbildung </w:t>
      </w:r>
      <w:r w:rsidR="003752C4">
        <w:rPr>
          <w:noProof/>
        </w:rPr>
        <w:t>2</w:t>
      </w:r>
      <w:r w:rsidR="003752C4">
        <w:rPr>
          <w:lang w:val="de-DE"/>
        </w:rPr>
        <w:fldChar w:fldCharType="end"/>
      </w:r>
      <w:r w:rsidR="00A42038" w:rsidRPr="0027216C">
        <w:rPr>
          <w:lang w:val="de-DE"/>
        </w:rPr>
        <w:t>). Auch die Therapie zugrunde</w:t>
      </w:r>
      <w:r w:rsidR="003E24A0">
        <w:rPr>
          <w:lang w:val="de-DE"/>
        </w:rPr>
        <w:t xml:space="preserve"> </w:t>
      </w:r>
      <w:r w:rsidR="00A42038" w:rsidRPr="0027216C">
        <w:rPr>
          <w:lang w:val="de-DE"/>
        </w:rPr>
        <w:t xml:space="preserve">liegender Erkrankungen soll von GDA in </w:t>
      </w:r>
      <w:r w:rsidRPr="0027216C">
        <w:rPr>
          <w:lang w:val="de-DE"/>
        </w:rPr>
        <w:t>Stufe</w:t>
      </w:r>
      <w:r w:rsidR="00A42038" w:rsidRPr="0027216C">
        <w:rPr>
          <w:lang w:val="de-DE"/>
        </w:rPr>
        <w:t xml:space="preserve"> 2 optimiert werden. Wie in </w:t>
      </w:r>
      <w:r w:rsidRPr="0027216C">
        <w:rPr>
          <w:lang w:val="de-DE"/>
        </w:rPr>
        <w:t>Stufe</w:t>
      </w:r>
      <w:r w:rsidR="004E7AF6" w:rsidRPr="0027216C">
        <w:rPr>
          <w:lang w:val="de-DE"/>
        </w:rPr>
        <w:t> </w:t>
      </w:r>
      <w:r w:rsidR="00A42038" w:rsidRPr="0027216C">
        <w:rPr>
          <w:lang w:val="de-DE"/>
        </w:rPr>
        <w:t xml:space="preserve">1 sollen auch in </w:t>
      </w:r>
      <w:r w:rsidRPr="0027216C">
        <w:rPr>
          <w:lang w:val="de-DE"/>
        </w:rPr>
        <w:t>Stufe</w:t>
      </w:r>
      <w:r w:rsidR="004E7AF6" w:rsidRPr="0027216C">
        <w:rPr>
          <w:lang w:val="de-DE"/>
        </w:rPr>
        <w:t> </w:t>
      </w:r>
      <w:r w:rsidR="00A42038" w:rsidRPr="0027216C">
        <w:rPr>
          <w:lang w:val="de-DE"/>
        </w:rPr>
        <w:t xml:space="preserve">2 die </w:t>
      </w:r>
      <w:r w:rsidR="00F445B7" w:rsidRPr="00F445B7">
        <w:rPr>
          <w:lang w:val="de-DE"/>
        </w:rPr>
        <w:t xml:space="preserve">Patientinnen und Patienten </w:t>
      </w:r>
      <w:r w:rsidR="002E11EB" w:rsidRPr="0027216C">
        <w:rPr>
          <w:lang w:val="de-DE"/>
        </w:rPr>
        <w:t>und/oder deren An- und Zugehörige</w:t>
      </w:r>
      <w:r w:rsidR="002E11EB" w:rsidRPr="0027216C">
        <w:rPr>
          <w:color w:val="00B050"/>
          <w:lang w:val="de-DE"/>
        </w:rPr>
        <w:t xml:space="preserve"> </w:t>
      </w:r>
      <w:r w:rsidR="00A42038" w:rsidRPr="0027216C">
        <w:rPr>
          <w:lang w:val="de-DE"/>
        </w:rPr>
        <w:t xml:space="preserve">über </w:t>
      </w:r>
      <w:r w:rsidR="002E11EB" w:rsidRPr="0027216C">
        <w:rPr>
          <w:lang w:val="de-DE"/>
        </w:rPr>
        <w:t>die</w:t>
      </w:r>
      <w:r w:rsidR="00A42038" w:rsidRPr="0027216C">
        <w:rPr>
          <w:lang w:val="de-DE"/>
        </w:rPr>
        <w:t xml:space="preserve"> Wund</w:t>
      </w:r>
      <w:r w:rsidR="002E11EB" w:rsidRPr="0027216C">
        <w:rPr>
          <w:lang w:val="de-DE"/>
        </w:rPr>
        <w:t>versorgung</w:t>
      </w:r>
      <w:r w:rsidR="00A42038" w:rsidRPr="0027216C">
        <w:rPr>
          <w:lang w:val="de-DE"/>
        </w:rPr>
        <w:t xml:space="preserve"> informiert und </w:t>
      </w:r>
      <w:r w:rsidR="002E11EB" w:rsidRPr="0027216C">
        <w:rPr>
          <w:lang w:val="de-DE"/>
        </w:rPr>
        <w:t>beraten</w:t>
      </w:r>
      <w:r w:rsidR="00A42038" w:rsidRPr="0027216C">
        <w:rPr>
          <w:lang w:val="de-DE"/>
        </w:rPr>
        <w:t xml:space="preserve"> werden, wobei auch die Rezidivprophylaxe berücksichtigt werden soll. Die Aus-</w:t>
      </w:r>
      <w:r w:rsidR="009A35D2" w:rsidRPr="0027216C">
        <w:rPr>
          <w:lang w:val="de-DE"/>
        </w:rPr>
        <w:t xml:space="preserve"> </w:t>
      </w:r>
      <w:r w:rsidR="00A42038" w:rsidRPr="0027216C">
        <w:rPr>
          <w:lang w:val="de-DE"/>
        </w:rPr>
        <w:t>und Weiterbildung von in die Wundversorgung involvierte</w:t>
      </w:r>
      <w:r w:rsidR="003E24A0">
        <w:rPr>
          <w:lang w:val="de-DE"/>
        </w:rPr>
        <w:t>n</w:t>
      </w:r>
      <w:r w:rsidR="00A42038" w:rsidRPr="0027216C">
        <w:rPr>
          <w:lang w:val="de-DE"/>
        </w:rPr>
        <w:t xml:space="preserve"> GDA zählt ebenso zu den Aufgaben von GDA der </w:t>
      </w:r>
      <w:r w:rsidRPr="0027216C">
        <w:rPr>
          <w:lang w:val="de-DE"/>
        </w:rPr>
        <w:t>Stufe</w:t>
      </w:r>
      <w:r w:rsidR="004E7AF6" w:rsidRPr="0027216C">
        <w:rPr>
          <w:lang w:val="de-DE"/>
        </w:rPr>
        <w:t> </w:t>
      </w:r>
      <w:r w:rsidR="00A42038" w:rsidRPr="0027216C">
        <w:rPr>
          <w:lang w:val="de-DE"/>
        </w:rPr>
        <w:t>2.</w:t>
      </w:r>
    </w:p>
    <w:p w14:paraId="18C4D996" w14:textId="47273246" w:rsidR="00B6266B" w:rsidRPr="0027216C" w:rsidRDefault="00A42038" w:rsidP="00B6266B">
      <w:pPr>
        <w:rPr>
          <w:lang w:val="de-DE"/>
        </w:rPr>
      </w:pPr>
      <w:r w:rsidRPr="0027216C">
        <w:rPr>
          <w:lang w:val="de-DE"/>
        </w:rPr>
        <w:t xml:space="preserve">Die </w:t>
      </w:r>
      <w:r w:rsidR="00277DE9" w:rsidRPr="00FF4357">
        <w:rPr>
          <w:rFonts w:ascii="Segoe UI Semibold" w:hAnsi="Segoe UI Semibold" w:cs="Segoe UI Semibold"/>
          <w:lang w:val="de-DE"/>
        </w:rPr>
        <w:t>Stufe</w:t>
      </w:r>
      <w:r w:rsidR="004E7AF6" w:rsidRPr="00FF4357">
        <w:rPr>
          <w:rFonts w:ascii="Segoe UI Semibold" w:hAnsi="Segoe UI Semibold" w:cs="Segoe UI Semibold"/>
          <w:lang w:val="de-DE"/>
        </w:rPr>
        <w:t> </w:t>
      </w:r>
      <w:r w:rsidRPr="00FF4357">
        <w:rPr>
          <w:rFonts w:ascii="Segoe UI Semibold" w:hAnsi="Segoe UI Semibold" w:cs="Segoe UI Semibold"/>
          <w:lang w:val="de-DE"/>
        </w:rPr>
        <w:t>3</w:t>
      </w:r>
      <w:r w:rsidRPr="0027216C">
        <w:rPr>
          <w:lang w:val="de-DE"/>
        </w:rPr>
        <w:t xml:space="preserve"> umfasst die </w:t>
      </w:r>
      <w:r w:rsidRPr="00FF4357">
        <w:rPr>
          <w:rFonts w:ascii="Segoe UI Semibold" w:hAnsi="Segoe UI Semibold" w:cs="Segoe UI Semibold"/>
          <w:lang w:val="de-DE"/>
        </w:rPr>
        <w:t>hochspezialisierte Versorgung</w:t>
      </w:r>
      <w:r w:rsidRPr="0027216C">
        <w:rPr>
          <w:lang w:val="de-DE"/>
        </w:rPr>
        <w:t xml:space="preserve"> von chronischen Wunden im stationären </w:t>
      </w:r>
      <w:r w:rsidR="00EB4221" w:rsidRPr="0027216C">
        <w:rPr>
          <w:lang w:val="de-DE"/>
        </w:rPr>
        <w:t xml:space="preserve">oder </w:t>
      </w:r>
      <w:r w:rsidR="00247253" w:rsidRPr="0027216C">
        <w:rPr>
          <w:lang w:val="de-DE"/>
        </w:rPr>
        <w:t>spitalsambulanten</w:t>
      </w:r>
      <w:r w:rsidR="00EB4221" w:rsidRPr="0027216C">
        <w:rPr>
          <w:lang w:val="de-DE"/>
        </w:rPr>
        <w:t xml:space="preserve"> </w:t>
      </w:r>
      <w:r w:rsidRPr="0027216C">
        <w:rPr>
          <w:lang w:val="de-DE"/>
        </w:rPr>
        <w:t xml:space="preserve">Bereich. Aufgaben dieser </w:t>
      </w:r>
      <w:r w:rsidR="00277DE9" w:rsidRPr="0027216C">
        <w:rPr>
          <w:lang w:val="de-DE"/>
        </w:rPr>
        <w:t>Stufe</w:t>
      </w:r>
      <w:r w:rsidRPr="0027216C">
        <w:rPr>
          <w:lang w:val="de-DE"/>
        </w:rPr>
        <w:t xml:space="preserve"> sind </w:t>
      </w:r>
      <w:r w:rsidR="00452F9E">
        <w:rPr>
          <w:lang w:val="de-DE"/>
        </w:rPr>
        <w:t xml:space="preserve">sowohl </w:t>
      </w:r>
      <w:r w:rsidRPr="0027216C">
        <w:rPr>
          <w:lang w:val="de-DE"/>
        </w:rPr>
        <w:t xml:space="preserve">die Diagnostik und Therapie von komplexen Wunden, die nicht in anderen </w:t>
      </w:r>
      <w:r w:rsidR="00277DE9" w:rsidRPr="0027216C">
        <w:rPr>
          <w:lang w:val="de-DE"/>
        </w:rPr>
        <w:t>Stufe</w:t>
      </w:r>
      <w:r w:rsidRPr="0027216C">
        <w:rPr>
          <w:lang w:val="de-DE"/>
        </w:rPr>
        <w:t>n versorgt werden können, als auch das Erstellen eine</w:t>
      </w:r>
      <w:r w:rsidR="0074461A" w:rsidRPr="0027216C">
        <w:rPr>
          <w:lang w:val="de-DE"/>
        </w:rPr>
        <w:t>s schriftliche</w:t>
      </w:r>
      <w:r w:rsidR="00452F9E">
        <w:rPr>
          <w:lang w:val="de-DE"/>
        </w:rPr>
        <w:t>n</w:t>
      </w:r>
      <w:r w:rsidR="0074461A" w:rsidRPr="0027216C">
        <w:rPr>
          <w:lang w:val="de-DE"/>
        </w:rPr>
        <w:t xml:space="preserve"> inter</w:t>
      </w:r>
      <w:r w:rsidRPr="0027216C">
        <w:rPr>
          <w:lang w:val="de-DE"/>
        </w:rPr>
        <w:t>professionellen Behandlungsplans (siehe</w:t>
      </w:r>
      <w:r w:rsidR="00FF4357">
        <w:rPr>
          <w:lang w:val="de-DE"/>
        </w:rPr>
        <w:t xml:space="preserve"> </w:t>
      </w:r>
      <w:r w:rsidR="00FF4357">
        <w:rPr>
          <w:lang w:val="de-DE"/>
        </w:rPr>
        <w:fldChar w:fldCharType="begin"/>
      </w:r>
      <w:r w:rsidR="00FF4357">
        <w:rPr>
          <w:lang w:val="de-DE"/>
        </w:rPr>
        <w:instrText xml:space="preserve"> REF _Ref204169747 \h </w:instrText>
      </w:r>
      <w:r w:rsidR="00FF4357">
        <w:rPr>
          <w:lang w:val="de-DE"/>
        </w:rPr>
      </w:r>
      <w:r w:rsidR="00FF4357">
        <w:rPr>
          <w:lang w:val="de-DE"/>
        </w:rPr>
        <w:fldChar w:fldCharType="separate"/>
      </w:r>
      <w:r w:rsidR="00FF4357" w:rsidRPr="0027216C">
        <w:t>Empfehlung 5</w:t>
      </w:r>
      <w:r w:rsidR="00FF4357">
        <w:rPr>
          <w:lang w:val="de-DE"/>
        </w:rPr>
        <w:fldChar w:fldCharType="end"/>
      </w:r>
      <w:r w:rsidRPr="0027216C">
        <w:rPr>
          <w:lang w:val="de-DE"/>
        </w:rPr>
        <w:t xml:space="preserve">). Wie auch in </w:t>
      </w:r>
      <w:r w:rsidR="00277DE9" w:rsidRPr="0027216C">
        <w:rPr>
          <w:lang w:val="de-DE"/>
        </w:rPr>
        <w:t>Stufe</w:t>
      </w:r>
      <w:r w:rsidR="004E7AF6" w:rsidRPr="0027216C">
        <w:rPr>
          <w:lang w:val="de-DE"/>
        </w:rPr>
        <w:t> </w:t>
      </w:r>
      <w:r w:rsidRPr="0027216C">
        <w:rPr>
          <w:lang w:val="de-DE"/>
        </w:rPr>
        <w:t>2 kann die Aus-</w:t>
      </w:r>
      <w:r w:rsidR="009A35D2" w:rsidRPr="0027216C">
        <w:rPr>
          <w:lang w:val="de-DE"/>
        </w:rPr>
        <w:t xml:space="preserve"> </w:t>
      </w:r>
      <w:r w:rsidRPr="0027216C">
        <w:rPr>
          <w:lang w:val="de-DE"/>
        </w:rPr>
        <w:t>und Weiterbildung von in die Wundversorgung involvierte</w:t>
      </w:r>
      <w:r w:rsidR="00452F9E">
        <w:rPr>
          <w:lang w:val="de-DE"/>
        </w:rPr>
        <w:t>n</w:t>
      </w:r>
      <w:r w:rsidRPr="0027216C">
        <w:rPr>
          <w:lang w:val="de-DE"/>
        </w:rPr>
        <w:t xml:space="preserve"> GDA in </w:t>
      </w:r>
      <w:r w:rsidR="00277DE9" w:rsidRPr="0027216C">
        <w:rPr>
          <w:lang w:val="de-DE"/>
        </w:rPr>
        <w:t>Stufe</w:t>
      </w:r>
      <w:r w:rsidR="004E7AF6" w:rsidRPr="0027216C">
        <w:rPr>
          <w:lang w:val="de-DE"/>
        </w:rPr>
        <w:t> </w:t>
      </w:r>
      <w:r w:rsidRPr="0027216C">
        <w:rPr>
          <w:lang w:val="de-DE"/>
        </w:rPr>
        <w:t>3 stattfinden.</w:t>
      </w:r>
    </w:p>
    <w:p w14:paraId="109B9438" w14:textId="55823648" w:rsidR="00B6266B" w:rsidRPr="0027216C" w:rsidRDefault="00A42038" w:rsidP="00AE5135">
      <w:pPr>
        <w:rPr>
          <w:rFonts w:cstheme="minorHAnsi"/>
          <w:bCs/>
          <w:noProof/>
          <w:szCs w:val="18"/>
          <w:lang w:val="de-DE"/>
        </w:rPr>
      </w:pPr>
      <w:r w:rsidRPr="0027216C">
        <w:rPr>
          <w:noProof/>
          <w:lang w:val="de-DE"/>
        </w:rPr>
        <w:t>Die nachfolgende</w:t>
      </w:r>
      <w:r w:rsidR="003752C4">
        <w:rPr>
          <w:noProof/>
          <w:lang w:val="de-DE"/>
        </w:rPr>
        <w:fldChar w:fldCharType="begin"/>
      </w:r>
      <w:r w:rsidR="003752C4">
        <w:rPr>
          <w:noProof/>
          <w:lang w:val="de-DE"/>
        </w:rPr>
        <w:instrText xml:space="preserve"> REF _Ref210640410 \h </w:instrText>
      </w:r>
      <w:r w:rsidR="003752C4">
        <w:rPr>
          <w:noProof/>
          <w:lang w:val="de-DE"/>
        </w:rPr>
      </w:r>
      <w:r w:rsidR="003752C4">
        <w:rPr>
          <w:noProof/>
          <w:lang w:val="de-DE"/>
        </w:rPr>
        <w:fldChar w:fldCharType="separate"/>
      </w:r>
      <w:r w:rsidR="003752C4">
        <w:t xml:space="preserve">Abbildung </w:t>
      </w:r>
      <w:r w:rsidR="003752C4">
        <w:rPr>
          <w:noProof/>
        </w:rPr>
        <w:t>2</w:t>
      </w:r>
      <w:r w:rsidR="003752C4">
        <w:rPr>
          <w:noProof/>
          <w:lang w:val="de-DE"/>
        </w:rPr>
        <w:fldChar w:fldCharType="end"/>
      </w:r>
      <w:r w:rsidRPr="0027216C">
        <w:rPr>
          <w:noProof/>
          <w:lang w:val="de-DE"/>
        </w:rPr>
        <w:t xml:space="preserve"> zeigt den allgemeinen </w:t>
      </w:r>
      <w:r w:rsidRPr="00FF4357">
        <w:rPr>
          <w:rFonts w:ascii="Segoe UI Semibold" w:hAnsi="Segoe UI Semibold" w:cs="Segoe UI Semibold"/>
          <w:bCs/>
          <w:noProof/>
          <w:lang w:val="de-DE"/>
        </w:rPr>
        <w:t>Pfad im Sinne eines abge</w:t>
      </w:r>
      <w:r w:rsidR="00452F9E">
        <w:rPr>
          <w:rFonts w:ascii="Segoe UI Semibold" w:hAnsi="Segoe UI Semibold" w:cs="Segoe UI Semibold"/>
          <w:bCs/>
          <w:noProof/>
          <w:lang w:val="de-DE"/>
        </w:rPr>
        <w:softHyphen/>
      </w:r>
      <w:r w:rsidRPr="00FF4357">
        <w:rPr>
          <w:rFonts w:ascii="Segoe UI Semibold" w:hAnsi="Segoe UI Semibold" w:cs="Segoe UI Semibold"/>
          <w:bCs/>
          <w:noProof/>
          <w:lang w:val="de-DE"/>
        </w:rPr>
        <w:t xml:space="preserve">stuften Versorgungskonzepts für </w:t>
      </w:r>
      <w:r w:rsidR="00F445B7" w:rsidRPr="00FF4357">
        <w:rPr>
          <w:rFonts w:ascii="Segoe UI Semibold" w:hAnsi="Segoe UI Semibold" w:cs="Segoe UI Semibold"/>
          <w:bCs/>
          <w:noProof/>
          <w:lang w:val="de-DE"/>
        </w:rPr>
        <w:t xml:space="preserve">Patientinnen und Patienten </w:t>
      </w:r>
      <w:r w:rsidRPr="00FF4357">
        <w:rPr>
          <w:rFonts w:ascii="Segoe UI Semibold" w:hAnsi="Segoe UI Semibold" w:cs="Segoe UI Semibold"/>
          <w:bCs/>
          <w:noProof/>
          <w:lang w:val="de-DE"/>
        </w:rPr>
        <w:t>mit chronischen Wunden</w:t>
      </w:r>
      <w:r w:rsidRPr="0027216C">
        <w:rPr>
          <w:noProof/>
          <w:lang w:val="de-DE"/>
        </w:rPr>
        <w:t>. Die konkrete Umsetzung erfolgt auf Basis der regionalen strukturellen Gegebenheiten.</w:t>
      </w:r>
      <w:r w:rsidR="00B6266B" w:rsidRPr="0027216C">
        <w:rPr>
          <w:noProof/>
          <w:lang w:val="de-DE"/>
        </w:rPr>
        <w:br w:type="page"/>
      </w:r>
    </w:p>
    <w:p w14:paraId="1DE5855D" w14:textId="45C6C2F5" w:rsidR="00B6266B" w:rsidRPr="0027216C" w:rsidRDefault="00474B86" w:rsidP="003752C4">
      <w:pPr>
        <w:pStyle w:val="Beschriftung"/>
      </w:pPr>
      <w:bookmarkStart w:id="94" w:name="_Ref210640410"/>
      <w:r w:rsidRPr="0027216C">
        <w:rPr>
          <w:b/>
          <w:bCs w:val="0"/>
          <w:noProof/>
        </w:rPr>
        <w:lastRenderedPageBreak/>
        <w:drawing>
          <wp:anchor distT="0" distB="0" distL="114300" distR="114300" simplePos="0" relativeHeight="251798528" behindDoc="1" locked="0" layoutInCell="1" allowOverlap="1" wp14:anchorId="765F56C6" wp14:editId="3FF55784">
            <wp:simplePos x="0" y="0"/>
            <wp:positionH relativeFrom="margin">
              <wp:posOffset>-31750</wp:posOffset>
            </wp:positionH>
            <wp:positionV relativeFrom="paragraph">
              <wp:posOffset>288290</wp:posOffset>
            </wp:positionV>
            <wp:extent cx="5389245" cy="5224145"/>
            <wp:effectExtent l="0" t="0" r="1905" b="0"/>
            <wp:wrapTopAndBottom/>
            <wp:docPr id="1113443520" name="Grafik 10" descr="Ein Bild, das Text, Screenshot, Diagramm,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43520" name="Grafik 10" descr="Ein Bild, das Text, Screenshot, Diagramm, Schrift enthält.&#10;&#10;KI-generierte Inhalte können fehlerhaft sein."/>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389245" cy="5224145"/>
                    </a:xfrm>
                    <a:prstGeom prst="rect">
                      <a:avLst/>
                    </a:prstGeom>
                  </pic:spPr>
                </pic:pic>
              </a:graphicData>
            </a:graphic>
            <wp14:sizeRelH relativeFrom="margin">
              <wp14:pctWidth>0</wp14:pctWidth>
            </wp14:sizeRelH>
            <wp14:sizeRelV relativeFrom="margin">
              <wp14:pctHeight>0</wp14:pctHeight>
            </wp14:sizeRelV>
          </wp:anchor>
        </w:drawing>
      </w:r>
      <w:r w:rsidR="003752C4">
        <w:t xml:space="preserve">Abbildung </w:t>
      </w:r>
      <w:fldSimple w:instr=" SEQ Abbildung \* ARABIC ">
        <w:r w:rsidR="003752C4">
          <w:rPr>
            <w:noProof/>
          </w:rPr>
          <w:t>2</w:t>
        </w:r>
      </w:fldSimple>
      <w:bookmarkEnd w:id="94"/>
      <w:r w:rsidR="003752C4">
        <w:t>:</w:t>
      </w:r>
      <w:r w:rsidR="00B6266B" w:rsidRPr="0027216C">
        <w:t xml:space="preserve"> Versorgungspfad im Sinne eines abgestuften Versorgungskonzepts</w:t>
      </w:r>
    </w:p>
    <w:p w14:paraId="093A1143" w14:textId="00D7CD60" w:rsidR="00B6266B" w:rsidRPr="0027216C" w:rsidRDefault="00B6266B" w:rsidP="003752C4">
      <w:pPr>
        <w:pStyle w:val="Beschriftung-Quelle"/>
        <w:pBdr>
          <w:top w:val="none" w:sz="0" w:space="0" w:color="auto"/>
        </w:pBdr>
        <w:tabs>
          <w:tab w:val="left" w:pos="3969"/>
        </w:tabs>
        <w:jc w:val="left"/>
        <w:rPr>
          <w:lang w:val="de-DE"/>
        </w:rPr>
      </w:pPr>
      <w:r w:rsidRPr="0027216C">
        <w:rPr>
          <w:lang w:val="de-DE"/>
        </w:rPr>
        <w:t xml:space="preserve">Legende: S = </w:t>
      </w:r>
      <w:r w:rsidR="00277DE9" w:rsidRPr="0027216C">
        <w:rPr>
          <w:lang w:val="de-DE"/>
        </w:rPr>
        <w:t>Stufe</w:t>
      </w:r>
      <w:r w:rsidRPr="0027216C">
        <w:rPr>
          <w:lang w:val="de-DE"/>
        </w:rPr>
        <w:t xml:space="preserve">, Pat. = </w:t>
      </w:r>
      <w:proofErr w:type="spellStart"/>
      <w:r w:rsidRPr="0027216C">
        <w:rPr>
          <w:lang w:val="de-DE"/>
        </w:rPr>
        <w:t>Patient:i</w:t>
      </w:r>
      <w:r w:rsidR="008C4E26" w:rsidRPr="0027216C">
        <w:rPr>
          <w:lang w:val="de-DE"/>
        </w:rPr>
        <w:t>n</w:t>
      </w:r>
      <w:proofErr w:type="spellEnd"/>
      <w:r w:rsidRPr="0027216C">
        <w:rPr>
          <w:lang w:val="de-DE"/>
        </w:rPr>
        <w:br/>
        <w:t>*bei Dekubitus nach 2 Wochen</w:t>
      </w:r>
    </w:p>
    <w:p w14:paraId="13B4EDF7" w14:textId="4F946A4B" w:rsidR="00B6266B" w:rsidRPr="0027216C" w:rsidRDefault="00B6266B" w:rsidP="00B6266B">
      <w:pPr>
        <w:rPr>
          <w:lang w:val="de-DE"/>
        </w:rPr>
      </w:pPr>
      <w:r w:rsidRPr="0027216C">
        <w:rPr>
          <w:sz w:val="18"/>
          <w:szCs w:val="20"/>
          <w:lang w:val="de-DE"/>
        </w:rPr>
        <w:t xml:space="preserve">Durchführung in </w:t>
      </w:r>
      <w:r w:rsidRPr="0027216C">
        <w:rPr>
          <w:sz w:val="18"/>
          <w:szCs w:val="20"/>
          <w:lang w:val="de-DE"/>
        </w:rPr>
        <w:tab/>
      </w:r>
      <w:r w:rsidRPr="0027216C">
        <w:rPr>
          <w:noProof/>
          <w:lang w:eastAsia="de-AT" w:bidi="ar-SA"/>
        </w:rPr>
        <mc:AlternateContent>
          <mc:Choice Requires="wps">
            <w:drawing>
              <wp:inline distT="0" distB="0" distL="0" distR="0" wp14:anchorId="72856FD2" wp14:editId="2E4593FA">
                <wp:extent cx="383191" cy="125132"/>
                <wp:effectExtent l="0" t="0" r="17145" b="27305"/>
                <wp:docPr id="149" name="Rechteck 148">
                  <a:extLst xmlns:a="http://schemas.openxmlformats.org/drawingml/2006/main">
                    <a:ext uri="{FF2B5EF4-FFF2-40B4-BE49-F238E27FC236}">
                      <a16:creationId xmlns:a16="http://schemas.microsoft.com/office/drawing/2014/main" id="{04CF5C5A-4429-1004-D7E8-445D868909A0}"/>
                    </a:ext>
                  </a:extLst>
                </wp:docPr>
                <wp:cNvGraphicFramePr/>
                <a:graphic xmlns:a="http://schemas.openxmlformats.org/drawingml/2006/main">
                  <a:graphicData uri="http://schemas.microsoft.com/office/word/2010/wordprocessingShape">
                    <wps:wsp>
                      <wps:cNvSpPr/>
                      <wps:spPr>
                        <a:xfrm>
                          <a:off x="0" y="0"/>
                          <a:ext cx="383191" cy="125132"/>
                        </a:xfrm>
                        <a:prstGeom prst="rect">
                          <a:avLst/>
                        </a:prstGeom>
                        <a:solidFill>
                          <a:srgbClr val="C36432"/>
                        </a:solidFill>
                        <a:ln w="19050" cap="flat" cmpd="sng" algn="ctr">
                          <a:solidFill>
                            <a:srgbClr val="E97132">
                              <a:lumMod val="50000"/>
                            </a:srgbClr>
                          </a:solidFill>
                          <a:prstDash val="solid"/>
                          <a:miter lim="800000"/>
                        </a:ln>
                        <a:effectLst/>
                      </wps:spPr>
                      <wps:bodyPr rtlCol="0" anchor="ctr"/>
                    </wps:wsp>
                  </a:graphicData>
                </a:graphic>
              </wp:inline>
            </w:drawing>
          </mc:Choice>
          <mc:Fallback>
            <w:pict>
              <v:rect w14:anchorId="580DFACE" id="Rechteck 148" o:spid="_x0000_s1026" style="width:30.15pt;height: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" fillcolor="#c36432" strokecolor="#80350e" strokeweight="1.5pt">
                <w10:anchorlock/>
              </v:rect>
            </w:pict>
          </mc:Fallback>
        </mc:AlternateContent>
      </w:r>
      <w:r w:rsidRPr="0027216C">
        <w:rPr>
          <w:lang w:val="de-DE"/>
        </w:rPr>
        <w:t xml:space="preserve"> </w:t>
      </w:r>
      <w:r w:rsidR="00277DE9" w:rsidRPr="0027216C">
        <w:rPr>
          <w:sz w:val="18"/>
          <w:szCs w:val="20"/>
          <w:lang w:val="de-DE"/>
        </w:rPr>
        <w:t>Stufe</w:t>
      </w:r>
      <w:r w:rsidRPr="0027216C">
        <w:rPr>
          <w:sz w:val="18"/>
          <w:szCs w:val="20"/>
          <w:lang w:val="de-DE"/>
        </w:rPr>
        <w:t xml:space="preserve"> 1</w:t>
      </w:r>
      <w:r w:rsidRPr="0027216C">
        <w:rPr>
          <w:sz w:val="18"/>
          <w:szCs w:val="20"/>
          <w:lang w:val="de-DE"/>
        </w:rPr>
        <w:tab/>
      </w:r>
      <w:r w:rsidRPr="0027216C">
        <w:rPr>
          <w:sz w:val="18"/>
          <w:szCs w:val="20"/>
          <w:lang w:val="de-DE"/>
        </w:rPr>
        <w:tab/>
      </w:r>
      <w:r w:rsidRPr="0027216C">
        <w:rPr>
          <w:noProof/>
          <w:sz w:val="18"/>
          <w:szCs w:val="20"/>
          <w:lang w:eastAsia="de-AT" w:bidi="ar-SA"/>
        </w:rPr>
        <mc:AlternateContent>
          <mc:Choice Requires="wps">
            <w:drawing>
              <wp:inline distT="0" distB="0" distL="0" distR="0" wp14:anchorId="53472D16" wp14:editId="2D1535F3">
                <wp:extent cx="383191" cy="125132"/>
                <wp:effectExtent l="0" t="0" r="17145" b="27305"/>
                <wp:docPr id="151" name="Rechteck 150">
                  <a:extLst xmlns:a="http://schemas.openxmlformats.org/drawingml/2006/main">
                    <a:ext uri="{FF2B5EF4-FFF2-40B4-BE49-F238E27FC236}">
                      <a16:creationId xmlns:a16="http://schemas.microsoft.com/office/drawing/2014/main" id="{C3ED4764-5AF8-FCC0-497B-0AE4F91E4701}"/>
                    </a:ext>
                  </a:extLst>
                </wp:docPr>
                <wp:cNvGraphicFramePr/>
                <a:graphic xmlns:a="http://schemas.openxmlformats.org/drawingml/2006/main">
                  <a:graphicData uri="http://schemas.microsoft.com/office/word/2010/wordprocessingShape">
                    <wps:wsp>
                      <wps:cNvSpPr/>
                      <wps:spPr>
                        <a:xfrm>
                          <a:off x="0" y="0"/>
                          <a:ext cx="383191" cy="125132"/>
                        </a:xfrm>
                        <a:prstGeom prst="rect">
                          <a:avLst/>
                        </a:prstGeom>
                        <a:solidFill>
                          <a:srgbClr val="D7B416"/>
                        </a:solidFill>
                        <a:ln w="19050" cap="flat" cmpd="sng" algn="ctr">
                          <a:solidFill>
                            <a:srgbClr val="C4A922"/>
                          </a:solidFill>
                          <a:prstDash val="solid"/>
                          <a:miter lim="800000"/>
                        </a:ln>
                        <a:effectLst/>
                      </wps:spPr>
                      <wps:bodyPr rtlCol="0" anchor="ctr"/>
                    </wps:wsp>
                  </a:graphicData>
                </a:graphic>
              </wp:inline>
            </w:drawing>
          </mc:Choice>
          <mc:Fallback>
            <w:pict>
              <v:rect w14:anchorId="538B0C5B" id="Rechteck 150" o:spid="_x0000_s1026" style="width:30.15pt;height: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" fillcolor="#d7b416" strokecolor="#c4a922" strokeweight="1.5pt">
                <w10:anchorlock/>
              </v:rect>
            </w:pict>
          </mc:Fallback>
        </mc:AlternateContent>
      </w:r>
      <w:r w:rsidRPr="0027216C">
        <w:rPr>
          <w:sz w:val="18"/>
          <w:szCs w:val="20"/>
          <w:lang w:val="de-DE"/>
        </w:rPr>
        <w:t xml:space="preserve"> </w:t>
      </w:r>
      <w:r w:rsidR="00277DE9" w:rsidRPr="0027216C">
        <w:rPr>
          <w:sz w:val="18"/>
          <w:szCs w:val="20"/>
          <w:lang w:val="de-DE"/>
        </w:rPr>
        <w:t>Stufe</w:t>
      </w:r>
      <w:r w:rsidRPr="0027216C">
        <w:rPr>
          <w:sz w:val="18"/>
          <w:szCs w:val="20"/>
          <w:lang w:val="de-DE"/>
        </w:rPr>
        <w:t xml:space="preserve"> 2</w:t>
      </w:r>
      <w:r w:rsidRPr="0027216C">
        <w:rPr>
          <w:sz w:val="18"/>
          <w:szCs w:val="20"/>
          <w:lang w:val="de-DE"/>
        </w:rPr>
        <w:tab/>
      </w:r>
      <w:r w:rsidRPr="0027216C">
        <w:rPr>
          <w:sz w:val="18"/>
          <w:szCs w:val="20"/>
          <w:lang w:val="de-DE"/>
        </w:rPr>
        <w:tab/>
      </w:r>
      <w:r w:rsidRPr="0027216C">
        <w:rPr>
          <w:noProof/>
          <w:sz w:val="18"/>
          <w:szCs w:val="20"/>
          <w:lang w:eastAsia="de-AT" w:bidi="ar-SA"/>
        </w:rPr>
        <mc:AlternateContent>
          <mc:Choice Requires="wps">
            <w:drawing>
              <wp:inline distT="0" distB="0" distL="0" distR="0" wp14:anchorId="5B6C3777" wp14:editId="1259F337">
                <wp:extent cx="383191" cy="125132"/>
                <wp:effectExtent l="0" t="0" r="17145" b="27305"/>
                <wp:docPr id="150" name="Rechteck 149">
                  <a:extLst xmlns:a="http://schemas.openxmlformats.org/drawingml/2006/main">
                    <a:ext uri="{FF2B5EF4-FFF2-40B4-BE49-F238E27FC236}">
                      <a16:creationId xmlns:a16="http://schemas.microsoft.com/office/drawing/2014/main" id="{A1CF8030-BFB5-652E-29D4-CAD62C653FD7}"/>
                    </a:ext>
                  </a:extLst>
                </wp:docPr>
                <wp:cNvGraphicFramePr/>
                <a:graphic xmlns:a="http://schemas.openxmlformats.org/drawingml/2006/main">
                  <a:graphicData uri="http://schemas.microsoft.com/office/word/2010/wordprocessingShape">
                    <wps:wsp>
                      <wps:cNvSpPr/>
                      <wps:spPr>
                        <a:xfrm>
                          <a:off x="0" y="0"/>
                          <a:ext cx="383191" cy="125132"/>
                        </a:xfrm>
                        <a:prstGeom prst="rect">
                          <a:avLst/>
                        </a:prstGeom>
                        <a:solidFill>
                          <a:srgbClr val="6197B8"/>
                        </a:solidFill>
                        <a:ln w="19050" cap="flat" cmpd="sng" algn="ctr">
                          <a:solidFill>
                            <a:srgbClr val="487D9E"/>
                          </a:solidFill>
                          <a:prstDash val="solid"/>
                          <a:miter lim="800000"/>
                        </a:ln>
                        <a:effectLst/>
                      </wps:spPr>
                      <wps:bodyPr rtlCol="0" anchor="ctr"/>
                    </wps:wsp>
                  </a:graphicData>
                </a:graphic>
              </wp:inline>
            </w:drawing>
          </mc:Choice>
          <mc:Fallback>
            <w:pict>
              <v:rect w14:anchorId="56FD4367" id="Rechteck 149" o:spid="_x0000_s1026" style="width:30.15pt;height: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" fillcolor="#6197b8" strokecolor="#487d9e" strokeweight="1.5pt">
                <w10:anchorlock/>
              </v:rect>
            </w:pict>
          </mc:Fallback>
        </mc:AlternateContent>
      </w:r>
      <w:r w:rsidR="00277DE9" w:rsidRPr="0027216C">
        <w:rPr>
          <w:sz w:val="18"/>
          <w:szCs w:val="20"/>
          <w:lang w:val="de-DE"/>
        </w:rPr>
        <w:t>Stufe</w:t>
      </w:r>
      <w:r w:rsidRPr="0027216C">
        <w:rPr>
          <w:sz w:val="18"/>
          <w:szCs w:val="20"/>
          <w:lang w:val="de-DE"/>
        </w:rPr>
        <w:t xml:space="preserve"> 3</w:t>
      </w:r>
    </w:p>
    <w:p w14:paraId="1F19E02B" w14:textId="5541B9D0" w:rsidR="00B6266B" w:rsidRPr="0027216C" w:rsidRDefault="00910EA6" w:rsidP="00B6266B">
      <w:pPr>
        <w:pStyle w:val="Beschriftung-Quelle"/>
        <w:rPr>
          <w:b/>
          <w:bCs w:val="0"/>
        </w:rPr>
      </w:pPr>
      <w:r w:rsidRPr="0027216C">
        <w:t xml:space="preserve">Quelle: </w:t>
      </w:r>
      <w:proofErr w:type="gramStart"/>
      <w:r w:rsidRPr="0027216C">
        <w:t>Oberösterreichischer</w:t>
      </w:r>
      <w:proofErr w:type="gramEnd"/>
      <w:r w:rsidRPr="0027216C">
        <w:t xml:space="preserve"> Gesundheitsfond</w:t>
      </w:r>
      <w:r>
        <w:t xml:space="preserve">s </w:t>
      </w:r>
      <w:r w:rsidRPr="0027216C">
        <w:t>/</w:t>
      </w:r>
      <w:r>
        <w:t xml:space="preserve"> </w:t>
      </w:r>
      <w:r w:rsidRPr="0027216C">
        <w:t xml:space="preserve">ÖGK </w:t>
      </w:r>
      <w:r>
        <w:t>(</w:t>
      </w:r>
      <w:r w:rsidRPr="0027216C">
        <w:t>2021</w:t>
      </w:r>
      <w:r>
        <w:t xml:space="preserve">, </w:t>
      </w:r>
      <w:r w:rsidRPr="0027216C">
        <w:t>unveröffentlicht)</w:t>
      </w:r>
      <w:r>
        <w:t xml:space="preserve">; </w:t>
      </w:r>
      <w:r w:rsidRPr="0027216C">
        <w:t xml:space="preserve">Darstellung: GÖG </w:t>
      </w:r>
      <w:r>
        <w:t>(</w:t>
      </w:r>
      <w:r w:rsidRPr="0027216C">
        <w:t>2024</w:t>
      </w:r>
      <w:r>
        <w:t>)</w:t>
      </w:r>
    </w:p>
    <w:p w14:paraId="72AFDEC1" w14:textId="0365BE45" w:rsidR="006453B5" w:rsidRPr="0027216C" w:rsidRDefault="006453B5" w:rsidP="006453B5">
      <w:pPr>
        <w:rPr>
          <w:noProof/>
          <w:lang w:val="de-DE"/>
        </w:rPr>
      </w:pPr>
      <w:r w:rsidRPr="0027216C">
        <w:rPr>
          <w:noProof/>
          <w:lang w:val="de-DE"/>
        </w:rPr>
        <w:t xml:space="preserve">Bei </w:t>
      </w:r>
      <w:r w:rsidR="00F445B7">
        <w:rPr>
          <w:noProof/>
          <w:lang w:val="de-DE"/>
        </w:rPr>
        <w:t>jeder Patientin bzw. jedem Patienten</w:t>
      </w:r>
      <w:r w:rsidRPr="0027216C">
        <w:rPr>
          <w:noProof/>
          <w:lang w:val="de-DE"/>
        </w:rPr>
        <w:t xml:space="preserve"> mit einer chronischen Wunde soll im Rahmen der Diagnostik bzw. Behandlung ein:e GDA mit explizierter Wundmanagement-Expertise involviert sein.</w:t>
      </w:r>
    </w:p>
    <w:p w14:paraId="5EE6F8B3" w14:textId="736A5F29" w:rsidR="007E3FAA" w:rsidRPr="0027216C" w:rsidRDefault="00A42038" w:rsidP="00DE6F0F">
      <w:pPr>
        <w:rPr>
          <w:noProof/>
          <w:lang w:val="de-DE"/>
        </w:rPr>
      </w:pPr>
      <w:r w:rsidRPr="0027216C">
        <w:rPr>
          <w:noProof/>
          <w:lang w:val="de-DE"/>
        </w:rPr>
        <w:t xml:space="preserve">Die </w:t>
      </w:r>
      <w:r w:rsidR="00277DE9" w:rsidRPr="0027216C">
        <w:rPr>
          <w:noProof/>
          <w:lang w:val="de-DE"/>
        </w:rPr>
        <w:t>Stufe</w:t>
      </w:r>
      <w:r w:rsidRPr="0027216C">
        <w:rPr>
          <w:noProof/>
          <w:lang w:val="de-DE"/>
        </w:rPr>
        <w:t xml:space="preserve"> 1 soll die erste Anlaufstelle für </w:t>
      </w:r>
      <w:r w:rsidR="00F445B7" w:rsidRPr="00F445B7">
        <w:rPr>
          <w:noProof/>
          <w:lang w:val="de-DE"/>
        </w:rPr>
        <w:t xml:space="preserve">Patientinnen und Patienten </w:t>
      </w:r>
      <w:r w:rsidRPr="0027216C">
        <w:rPr>
          <w:noProof/>
          <w:lang w:val="de-DE"/>
        </w:rPr>
        <w:t xml:space="preserve">mit Wunden sein. Wird bei </w:t>
      </w:r>
      <w:r w:rsidR="00F445B7">
        <w:rPr>
          <w:noProof/>
          <w:lang w:val="de-DE"/>
        </w:rPr>
        <w:t>einer Patientin bzw. einem Patienten</w:t>
      </w:r>
      <w:r w:rsidRPr="0027216C">
        <w:rPr>
          <w:noProof/>
          <w:lang w:val="de-DE"/>
        </w:rPr>
        <w:t xml:space="preserve"> eine chronische Wunde festgestellt, so soll an die </w:t>
      </w:r>
      <w:r w:rsidR="00277DE9" w:rsidRPr="0027216C">
        <w:rPr>
          <w:noProof/>
          <w:lang w:val="de-DE"/>
        </w:rPr>
        <w:t>Stufe</w:t>
      </w:r>
      <w:r w:rsidRPr="0027216C">
        <w:rPr>
          <w:noProof/>
          <w:lang w:val="de-DE"/>
        </w:rPr>
        <w:t xml:space="preserve"> 2 zur Begutachtung und Erstellung des </w:t>
      </w:r>
      <w:r w:rsidR="0074461A" w:rsidRPr="0027216C">
        <w:rPr>
          <w:noProof/>
          <w:lang w:val="de-DE"/>
        </w:rPr>
        <w:t xml:space="preserve">interprofessionellen </w:t>
      </w:r>
      <w:r w:rsidRPr="0027216C">
        <w:rPr>
          <w:noProof/>
          <w:lang w:val="de-DE"/>
        </w:rPr>
        <w:t xml:space="preserve">Behandlungsplans weitergeleitet werden. </w:t>
      </w:r>
      <w:r w:rsidR="0069471E" w:rsidRPr="0027216C">
        <w:rPr>
          <w:noProof/>
          <w:lang w:val="de-DE"/>
        </w:rPr>
        <w:t xml:space="preserve">Gegebenenfalls kann die Erstbegutachtung auch bereits auf </w:t>
      </w:r>
      <w:r w:rsidR="00277DE9" w:rsidRPr="0027216C">
        <w:rPr>
          <w:noProof/>
          <w:lang w:val="de-DE"/>
        </w:rPr>
        <w:t>Stufe</w:t>
      </w:r>
      <w:r w:rsidR="0069471E" w:rsidRPr="0027216C">
        <w:rPr>
          <w:noProof/>
          <w:lang w:val="de-DE"/>
        </w:rPr>
        <w:t xml:space="preserve"> 2 erfolgen (z. B. Primärversorgungszentrum mit Wundmanagement-Expertise</w:t>
      </w:r>
      <w:r w:rsidR="00750888" w:rsidRPr="0027216C">
        <w:rPr>
          <w:noProof/>
          <w:lang w:val="de-DE"/>
        </w:rPr>
        <w:t>)</w:t>
      </w:r>
      <w:r w:rsidR="0069471E" w:rsidRPr="0027216C">
        <w:rPr>
          <w:noProof/>
          <w:lang w:val="de-DE"/>
        </w:rPr>
        <w:t xml:space="preserve">. </w:t>
      </w:r>
      <w:r w:rsidRPr="0027216C">
        <w:rPr>
          <w:noProof/>
          <w:lang w:val="de-DE"/>
        </w:rPr>
        <w:t>Falls sich aus dieser Begutachtung die Notwendigkeit einer hochspezialisierte</w:t>
      </w:r>
      <w:r w:rsidR="00DB3B8F">
        <w:rPr>
          <w:noProof/>
          <w:lang w:val="de-DE"/>
        </w:rPr>
        <w:t>n</w:t>
      </w:r>
      <w:r w:rsidRPr="0027216C">
        <w:rPr>
          <w:noProof/>
          <w:lang w:val="de-DE"/>
        </w:rPr>
        <w:t xml:space="preserve"> Diagnostik und/oder Behandlung ergibt, wird </w:t>
      </w:r>
      <w:r w:rsidR="00DD1CDC">
        <w:rPr>
          <w:noProof/>
          <w:lang w:val="de-DE"/>
        </w:rPr>
        <w:t xml:space="preserve">die Patientin bzw. der Patient </w:t>
      </w:r>
      <w:r w:rsidRPr="0027216C">
        <w:rPr>
          <w:noProof/>
          <w:lang w:val="de-DE"/>
        </w:rPr>
        <w:t xml:space="preserve">an die </w:t>
      </w:r>
      <w:r w:rsidR="00277DE9" w:rsidRPr="0027216C">
        <w:rPr>
          <w:noProof/>
          <w:lang w:val="de-DE"/>
        </w:rPr>
        <w:t>Stufe</w:t>
      </w:r>
      <w:r w:rsidRPr="0027216C">
        <w:rPr>
          <w:noProof/>
          <w:lang w:val="de-DE"/>
        </w:rPr>
        <w:t> 3 weitergeleitet.</w:t>
      </w:r>
    </w:p>
    <w:p w14:paraId="5DDFC3BE" w14:textId="58D3242D" w:rsidR="007E3FAA" w:rsidRPr="0027216C" w:rsidRDefault="00A42038" w:rsidP="00DE6F0F">
      <w:pPr>
        <w:rPr>
          <w:noProof/>
          <w:lang w:val="de-DE"/>
        </w:rPr>
      </w:pPr>
      <w:r w:rsidRPr="0027216C">
        <w:rPr>
          <w:noProof/>
          <w:lang w:val="de-DE"/>
        </w:rPr>
        <w:lastRenderedPageBreak/>
        <w:t xml:space="preserve">Falls </w:t>
      </w:r>
      <w:r w:rsidR="00DB3B8F">
        <w:rPr>
          <w:noProof/>
          <w:lang w:val="de-DE"/>
        </w:rPr>
        <w:t>k</w:t>
      </w:r>
      <w:r w:rsidRPr="0027216C">
        <w:rPr>
          <w:noProof/>
          <w:lang w:val="de-DE"/>
        </w:rPr>
        <w:t xml:space="preserve">eine hochspezialisierte Behandlung notwendig ist, wird in </w:t>
      </w:r>
      <w:r w:rsidR="00277DE9" w:rsidRPr="0027216C">
        <w:rPr>
          <w:noProof/>
          <w:lang w:val="de-DE"/>
        </w:rPr>
        <w:t>Stufe</w:t>
      </w:r>
      <w:r w:rsidRPr="0027216C">
        <w:rPr>
          <w:noProof/>
          <w:lang w:val="de-DE"/>
        </w:rPr>
        <w:t xml:space="preserve"> 2 ein </w:t>
      </w:r>
      <w:r w:rsidR="0074461A" w:rsidRPr="0027216C">
        <w:rPr>
          <w:noProof/>
          <w:lang w:val="de-DE"/>
        </w:rPr>
        <w:t xml:space="preserve">interprofessioneller </w:t>
      </w:r>
      <w:r w:rsidRPr="0027216C">
        <w:rPr>
          <w:noProof/>
          <w:lang w:val="de-DE"/>
        </w:rPr>
        <w:t>Behandlungsplan erstellt (siehe</w:t>
      </w:r>
      <w:r w:rsidR="002D5D70">
        <w:rPr>
          <w:noProof/>
          <w:lang w:val="de-DE"/>
        </w:rPr>
        <w:t xml:space="preserve"> </w:t>
      </w:r>
      <w:r w:rsidR="002D5D70">
        <w:rPr>
          <w:noProof/>
          <w:lang w:val="de-DE"/>
        </w:rPr>
        <w:fldChar w:fldCharType="begin"/>
      </w:r>
      <w:r w:rsidR="002D5D70">
        <w:rPr>
          <w:noProof/>
          <w:lang w:val="de-DE"/>
        </w:rPr>
        <w:instrText xml:space="preserve"> REF _Ref204169747 \h </w:instrText>
      </w:r>
      <w:r w:rsidR="002D5D70">
        <w:rPr>
          <w:noProof/>
          <w:lang w:val="de-DE"/>
        </w:rPr>
      </w:r>
      <w:r w:rsidR="002D5D70">
        <w:rPr>
          <w:noProof/>
          <w:lang w:val="de-DE"/>
        </w:rPr>
        <w:fldChar w:fldCharType="separate"/>
      </w:r>
      <w:r w:rsidR="002D5D70" w:rsidRPr="0027216C">
        <w:t>Empfehlung 5</w:t>
      </w:r>
      <w:r w:rsidR="002D5D70">
        <w:rPr>
          <w:noProof/>
          <w:lang w:val="de-DE"/>
        </w:rPr>
        <w:fldChar w:fldCharType="end"/>
      </w:r>
      <w:r w:rsidRPr="0027216C">
        <w:rPr>
          <w:noProof/>
          <w:lang w:val="de-DE"/>
        </w:rPr>
        <w:t xml:space="preserve">). Wenn möglich, soll die Umsetzung des Behandlungsplans in </w:t>
      </w:r>
      <w:r w:rsidR="00277DE9" w:rsidRPr="0027216C">
        <w:rPr>
          <w:noProof/>
          <w:lang w:val="de-DE"/>
        </w:rPr>
        <w:t>Stufe</w:t>
      </w:r>
      <w:r w:rsidRPr="0027216C">
        <w:rPr>
          <w:noProof/>
          <w:lang w:val="de-DE"/>
        </w:rPr>
        <w:t xml:space="preserve"> 1 erfolgen. Falls für die Umsetzung de</w:t>
      </w:r>
      <w:r w:rsidR="0074461A" w:rsidRPr="0027216C">
        <w:rPr>
          <w:noProof/>
          <w:lang w:val="de-DE"/>
        </w:rPr>
        <w:t>s</w:t>
      </w:r>
      <w:r w:rsidRPr="0027216C">
        <w:rPr>
          <w:noProof/>
          <w:lang w:val="de-DE"/>
        </w:rPr>
        <w:t xml:space="preserve"> Behandlungsplans jedoch eine Wundmanagement-Expertise erforderlich ist, findet die Therapie durch GDA der </w:t>
      </w:r>
      <w:r w:rsidR="00277DE9" w:rsidRPr="0027216C">
        <w:rPr>
          <w:noProof/>
          <w:lang w:val="de-DE"/>
        </w:rPr>
        <w:t>Stufe</w:t>
      </w:r>
      <w:r w:rsidRPr="0027216C">
        <w:rPr>
          <w:noProof/>
          <w:lang w:val="de-DE"/>
        </w:rPr>
        <w:t xml:space="preserve"> 2 statt.</w:t>
      </w:r>
    </w:p>
    <w:p w14:paraId="6C652C42" w14:textId="52D18B66" w:rsidR="007E3FAA" w:rsidRPr="0027216C" w:rsidRDefault="00A42038" w:rsidP="00DE6F0F">
      <w:pPr>
        <w:rPr>
          <w:noProof/>
          <w:lang w:val="de-DE"/>
        </w:rPr>
      </w:pPr>
      <w:r w:rsidRPr="0027216C">
        <w:rPr>
          <w:noProof/>
          <w:lang w:val="de-DE"/>
        </w:rPr>
        <w:t>Wurde d</w:t>
      </w:r>
      <w:r w:rsidR="0074461A" w:rsidRPr="0027216C">
        <w:rPr>
          <w:noProof/>
          <w:lang w:val="de-DE"/>
        </w:rPr>
        <w:t>ie</w:t>
      </w:r>
      <w:r w:rsidR="008D43B6">
        <w:rPr>
          <w:noProof/>
          <w:lang w:val="de-DE"/>
        </w:rPr>
        <w:t xml:space="preserve"> </w:t>
      </w:r>
      <w:r w:rsidRPr="0027216C">
        <w:rPr>
          <w:noProof/>
          <w:lang w:val="de-DE"/>
        </w:rPr>
        <w:t>Patientin</w:t>
      </w:r>
      <w:r w:rsidR="008D43B6">
        <w:rPr>
          <w:noProof/>
          <w:lang w:val="de-DE"/>
        </w:rPr>
        <w:t xml:space="preserve"> bzw. der Patient</w:t>
      </w:r>
      <w:r w:rsidRPr="0027216C">
        <w:rPr>
          <w:noProof/>
          <w:lang w:val="de-DE"/>
        </w:rPr>
        <w:t xml:space="preserve"> an die </w:t>
      </w:r>
      <w:r w:rsidR="00277DE9" w:rsidRPr="0027216C">
        <w:rPr>
          <w:noProof/>
          <w:lang w:val="de-DE"/>
        </w:rPr>
        <w:t>Stufe</w:t>
      </w:r>
      <w:r w:rsidRPr="0027216C">
        <w:rPr>
          <w:noProof/>
          <w:lang w:val="de-DE"/>
        </w:rPr>
        <w:t xml:space="preserve"> 3 weitergeleitet oder ist der</w:t>
      </w:r>
      <w:r w:rsidR="00FF52F2">
        <w:rPr>
          <w:noProof/>
          <w:lang w:val="de-DE"/>
        </w:rPr>
        <w:t xml:space="preserve"> bzw. die</w:t>
      </w:r>
      <w:r w:rsidRPr="0027216C">
        <w:rPr>
          <w:noProof/>
          <w:lang w:val="de-DE"/>
        </w:rPr>
        <w:t xml:space="preserve"> Patient:in bereits stationär im Krankenhaus (z. B. aufgrund anderer Erkrankung</w:t>
      </w:r>
      <w:r w:rsidR="00FF52F2">
        <w:rPr>
          <w:noProof/>
          <w:lang w:val="de-DE"/>
        </w:rPr>
        <w:t>(</w:t>
      </w:r>
      <w:r w:rsidRPr="0027216C">
        <w:rPr>
          <w:noProof/>
          <w:lang w:val="de-DE"/>
        </w:rPr>
        <w:t>en</w:t>
      </w:r>
      <w:r w:rsidR="00FF52F2">
        <w:rPr>
          <w:noProof/>
          <w:lang w:val="de-DE"/>
        </w:rPr>
        <w:t>)</w:t>
      </w:r>
      <w:r w:rsidRPr="0027216C">
        <w:rPr>
          <w:noProof/>
          <w:lang w:val="de-DE"/>
        </w:rPr>
        <w:t>), k</w:t>
      </w:r>
      <w:r w:rsidR="00AF1D37">
        <w:rPr>
          <w:noProof/>
          <w:lang w:val="de-DE"/>
        </w:rPr>
        <w:t>ö</w:t>
      </w:r>
      <w:r w:rsidRPr="0027216C">
        <w:rPr>
          <w:noProof/>
          <w:lang w:val="de-DE"/>
        </w:rPr>
        <w:t>nn</w:t>
      </w:r>
      <w:r w:rsidR="00AF1D37">
        <w:rPr>
          <w:noProof/>
          <w:lang w:val="de-DE"/>
        </w:rPr>
        <w:t>en</w:t>
      </w:r>
      <w:r w:rsidRPr="0027216C">
        <w:rPr>
          <w:noProof/>
          <w:lang w:val="de-DE"/>
        </w:rPr>
        <w:t xml:space="preserve"> die Begut</w:t>
      </w:r>
      <w:r w:rsidR="00AF1D37">
        <w:rPr>
          <w:noProof/>
          <w:lang w:val="de-DE"/>
        </w:rPr>
        <w:softHyphen/>
      </w:r>
      <w:r w:rsidRPr="0027216C">
        <w:rPr>
          <w:noProof/>
          <w:lang w:val="de-DE"/>
        </w:rPr>
        <w:t xml:space="preserve">achtung und die Erstellung des </w:t>
      </w:r>
      <w:r w:rsidR="00DF073E" w:rsidRPr="0027216C">
        <w:rPr>
          <w:noProof/>
          <w:lang w:val="de-DE"/>
        </w:rPr>
        <w:t xml:space="preserve">interprofessionellen </w:t>
      </w:r>
      <w:r w:rsidRPr="0027216C">
        <w:rPr>
          <w:noProof/>
          <w:lang w:val="de-DE"/>
        </w:rPr>
        <w:t>Behandlungsplan</w:t>
      </w:r>
      <w:r w:rsidR="00DF073E" w:rsidRPr="0027216C">
        <w:rPr>
          <w:noProof/>
          <w:lang w:val="de-DE"/>
        </w:rPr>
        <w:t>s</w:t>
      </w:r>
      <w:r w:rsidRPr="0027216C">
        <w:rPr>
          <w:noProof/>
          <w:lang w:val="de-DE"/>
        </w:rPr>
        <w:t xml:space="preserve"> auch in </w:t>
      </w:r>
      <w:r w:rsidR="00277DE9" w:rsidRPr="0027216C">
        <w:rPr>
          <w:noProof/>
          <w:lang w:val="de-DE"/>
        </w:rPr>
        <w:t>Stufe</w:t>
      </w:r>
      <w:r w:rsidRPr="0027216C">
        <w:rPr>
          <w:noProof/>
          <w:lang w:val="de-DE"/>
        </w:rPr>
        <w:t xml:space="preserve"> 3 erfolgen. Die Umsetzung des Behandlungsplans soll wieder in der niedrigstmöglichen </w:t>
      </w:r>
      <w:r w:rsidR="00277DE9" w:rsidRPr="0027216C">
        <w:rPr>
          <w:noProof/>
          <w:lang w:val="de-DE"/>
        </w:rPr>
        <w:t>Stufe</w:t>
      </w:r>
      <w:r w:rsidRPr="0027216C">
        <w:rPr>
          <w:noProof/>
          <w:lang w:val="de-DE"/>
        </w:rPr>
        <w:t xml:space="preserve"> stattfinden.</w:t>
      </w:r>
    </w:p>
    <w:p w14:paraId="3A97F7D6" w14:textId="1567B138" w:rsidR="00DE6F0F" w:rsidRPr="00751091" w:rsidRDefault="00A42038" w:rsidP="00DE6F0F">
      <w:pPr>
        <w:rPr>
          <w:noProof/>
          <w:lang w:val="de-DE"/>
        </w:rPr>
      </w:pPr>
      <w:r w:rsidRPr="0027216C">
        <w:rPr>
          <w:noProof/>
          <w:lang w:val="de-DE"/>
        </w:rPr>
        <w:t>Wenn bei einer chronischen Wunde 4 bis 6 Wochen nach Beginn einer leitliniengerechten Behandlung (bei Dekubitus nach zwei Wochen) keine bzw. keine ausreichende Heilungstendenz oder eine Verschlechterung der Wundsituation erkennbar ist, soll eine umfassende Neubeur</w:t>
      </w:r>
      <w:r w:rsidR="00AF1D37">
        <w:rPr>
          <w:noProof/>
          <w:lang w:val="de-DE"/>
        </w:rPr>
        <w:softHyphen/>
      </w:r>
      <w:r w:rsidRPr="0027216C">
        <w:rPr>
          <w:noProof/>
          <w:lang w:val="de-DE"/>
        </w:rPr>
        <w:t xml:space="preserve">teilung durch eine höhere </w:t>
      </w:r>
      <w:r w:rsidR="00277DE9" w:rsidRPr="0027216C">
        <w:rPr>
          <w:noProof/>
          <w:lang w:val="de-DE"/>
        </w:rPr>
        <w:t>Stufe</w:t>
      </w:r>
      <w:r w:rsidRPr="0027216C">
        <w:rPr>
          <w:noProof/>
          <w:lang w:val="de-DE"/>
        </w:rPr>
        <w:t xml:space="preserve"> durchgeführt oder eine Zweitmeinung einer</w:t>
      </w:r>
      <w:r w:rsidR="00AF1D37">
        <w:rPr>
          <w:noProof/>
          <w:lang w:val="de-DE"/>
        </w:rPr>
        <w:t xml:space="preserve"> oder </w:t>
      </w:r>
      <w:r w:rsidR="00DF073E" w:rsidRPr="0027216C">
        <w:rPr>
          <w:noProof/>
          <w:lang w:val="de-DE"/>
        </w:rPr>
        <w:t>eines</w:t>
      </w:r>
      <w:r w:rsidRPr="0027216C">
        <w:rPr>
          <w:noProof/>
          <w:lang w:val="de-DE"/>
        </w:rPr>
        <w:t xml:space="preserve"> qualifizierten GDA derselben </w:t>
      </w:r>
      <w:r w:rsidR="00277DE9" w:rsidRPr="0027216C">
        <w:rPr>
          <w:noProof/>
          <w:lang w:val="de-DE"/>
        </w:rPr>
        <w:t>Stufe</w:t>
      </w:r>
      <w:r w:rsidRPr="0027216C">
        <w:rPr>
          <w:noProof/>
          <w:lang w:val="de-DE"/>
        </w:rPr>
        <w:t xml:space="preserve"> eingeholt werden, abhängig davon, welche </w:t>
      </w:r>
      <w:r w:rsidR="00277DE9" w:rsidRPr="0027216C">
        <w:rPr>
          <w:noProof/>
          <w:lang w:val="de-DE"/>
        </w:rPr>
        <w:t>Stufe</w:t>
      </w:r>
      <w:r w:rsidRPr="0027216C">
        <w:rPr>
          <w:noProof/>
          <w:lang w:val="de-DE"/>
        </w:rPr>
        <w:t xml:space="preserve"> zuvor für die Behandlung zuständig war.</w:t>
      </w:r>
    </w:p>
    <w:p w14:paraId="7431CD83" w14:textId="4BDDAA49" w:rsidR="007E3FAA" w:rsidRPr="00084E27" w:rsidRDefault="00A42038" w:rsidP="00751091">
      <w:pPr>
        <w:spacing w:before="360"/>
        <w:rPr>
          <w:rFonts w:ascii="Segoe UI Semibold" w:hAnsi="Segoe UI Semibold" w:cs="Segoe UI Semibold"/>
        </w:rPr>
      </w:pPr>
      <w:r w:rsidRPr="00084E27">
        <w:rPr>
          <w:rFonts w:ascii="Segoe UI Semibold" w:hAnsi="Segoe UI Semibold" w:cs="Segoe UI Semibold"/>
        </w:rPr>
        <w:t>Evidenzbasis:</w:t>
      </w:r>
    </w:p>
    <w:p w14:paraId="35A619D2" w14:textId="77777777" w:rsidR="007E3FAA" w:rsidRPr="0027216C" w:rsidRDefault="00A42038">
      <w:pPr>
        <w:spacing w:before="0"/>
      </w:pPr>
      <w:r w:rsidRPr="0027216C">
        <w:t>Expertenkonsens in:</w:t>
      </w:r>
    </w:p>
    <w:p w14:paraId="40395140" w14:textId="11DA9162" w:rsidR="007E3FAA" w:rsidRPr="0027216C" w:rsidRDefault="00A42038" w:rsidP="00084E27">
      <w:pPr>
        <w:pStyle w:val="Liste1"/>
      </w:pPr>
      <w:r w:rsidRPr="0027216C">
        <w:t xml:space="preserve">AWMF </w:t>
      </w:r>
      <w:r w:rsidR="00F257C5">
        <w:t>(</w:t>
      </w:r>
      <w:r w:rsidRPr="0027216C">
        <w:t>2023</w:t>
      </w:r>
      <w:r w:rsidR="00F257C5">
        <w:t>)</w:t>
      </w:r>
      <w:r w:rsidRPr="0027216C">
        <w:t>: S3‐Leitlinie Lokaltherapie chronischer Wunden</w:t>
      </w:r>
    </w:p>
    <w:p w14:paraId="71EED46C" w14:textId="00E4F514" w:rsidR="007E3FAA" w:rsidRPr="0027216C" w:rsidRDefault="00A42038" w:rsidP="00084E27">
      <w:pPr>
        <w:pStyle w:val="Liste1"/>
      </w:pPr>
      <w:r w:rsidRPr="0027216C">
        <w:t xml:space="preserve">Österreichischer Strukturplan Gesundheit </w:t>
      </w:r>
      <w:r w:rsidR="00F257C5">
        <w:t>(</w:t>
      </w:r>
      <w:r w:rsidRPr="0027216C">
        <w:t>2023</w:t>
      </w:r>
      <w:r w:rsidR="00F257C5">
        <w:t>)</w:t>
      </w:r>
    </w:p>
    <w:p w14:paraId="72581AB5" w14:textId="1D5F3933" w:rsidR="007E3FAA" w:rsidRPr="0027216C" w:rsidRDefault="00A42038" w:rsidP="00084E27">
      <w:pPr>
        <w:pStyle w:val="Liste1"/>
      </w:pPr>
      <w:r w:rsidRPr="0027216C">
        <w:t xml:space="preserve">Oberösterreichischer Gesundheitsfonds </w:t>
      </w:r>
      <w:r w:rsidR="00F257C5">
        <w:t>/</w:t>
      </w:r>
      <w:r w:rsidR="00F257C5" w:rsidRPr="0027216C">
        <w:t xml:space="preserve"> </w:t>
      </w:r>
      <w:r w:rsidRPr="0027216C">
        <w:t xml:space="preserve">ÖGK </w:t>
      </w:r>
      <w:r w:rsidR="00F257C5">
        <w:t>(</w:t>
      </w:r>
      <w:r w:rsidRPr="0027216C">
        <w:t>2021</w:t>
      </w:r>
      <w:r w:rsidR="00F257C5">
        <w:t>)</w:t>
      </w:r>
      <w:r w:rsidRPr="0027216C">
        <w:t>: Versorgungsstufen für chronische Hautwunden in O</w:t>
      </w:r>
      <w:r w:rsidR="00390760" w:rsidRPr="0027216C">
        <w:t>berösterreich</w:t>
      </w:r>
      <w:r w:rsidRPr="0027216C">
        <w:t xml:space="preserve">, Versorgung </w:t>
      </w:r>
      <w:proofErr w:type="spellStart"/>
      <w:proofErr w:type="gramStart"/>
      <w:r w:rsidRPr="0027216C">
        <w:t>chronische:r</w:t>
      </w:r>
      <w:proofErr w:type="spellEnd"/>
      <w:proofErr w:type="gramEnd"/>
      <w:r w:rsidRPr="0027216C">
        <w:t xml:space="preserve"> </w:t>
      </w:r>
      <w:proofErr w:type="spellStart"/>
      <w:r w:rsidRPr="0027216C">
        <w:t>Wundpatient:in</w:t>
      </w:r>
      <w:proofErr w:type="spellEnd"/>
      <w:r w:rsidRPr="0027216C">
        <w:t xml:space="preserve"> </w:t>
      </w:r>
      <w:r w:rsidR="00F257C5">
        <w:t>–</w:t>
      </w:r>
      <w:r w:rsidR="00F257C5" w:rsidRPr="0027216C">
        <w:t xml:space="preserve"> </w:t>
      </w:r>
      <w:r w:rsidRPr="0027216C">
        <w:t>SOLL-Prozess (unveröffentlicht)</w:t>
      </w:r>
    </w:p>
    <w:p w14:paraId="39058C1D" w14:textId="77777777" w:rsidR="007E3FAA" w:rsidRPr="0027216C" w:rsidRDefault="00A42038" w:rsidP="00084E27">
      <w:pPr>
        <w:pStyle w:val="Liste1"/>
      </w:pPr>
      <w:r w:rsidRPr="0027216C">
        <w:t>Konsensempfehlung der Zielsteuerungsgremien</w:t>
      </w:r>
    </w:p>
    <w:p w14:paraId="24DCFFD7" w14:textId="77777777" w:rsidR="007E3FAA" w:rsidRPr="0027216C" w:rsidRDefault="00A42038">
      <w:pPr>
        <w:rPr>
          <w:bCs/>
        </w:rPr>
      </w:pPr>
      <w:r w:rsidRPr="004837EE">
        <w:rPr>
          <w:rFonts w:ascii="Segoe UI Semibold" w:hAnsi="Segoe UI Semibold" w:cs="Segoe UI Semibold"/>
        </w:rPr>
        <w:t>Evidenzstärke:</w:t>
      </w:r>
      <w:r w:rsidRPr="00AB07F5">
        <w:rPr>
          <w:rFonts w:ascii="Segoe UI Semibold" w:hAnsi="Segoe UI Semibold" w:cs="Segoe UI Semibold"/>
        </w:rPr>
        <w:t xml:space="preserve"> </w:t>
      </w:r>
      <w:r w:rsidRPr="0027216C">
        <w:rPr>
          <w:bCs/>
        </w:rPr>
        <w:t>gering</w:t>
      </w:r>
    </w:p>
    <w:p w14:paraId="4D4FA3A3" w14:textId="77777777" w:rsidR="007E3FAA" w:rsidRPr="0027216C" w:rsidRDefault="00A42038">
      <w:r w:rsidRPr="00AB07F5">
        <w:rPr>
          <w:rFonts w:ascii="Segoe UI Semibold" w:hAnsi="Segoe UI Semibold" w:cs="Segoe UI Semibold"/>
        </w:rPr>
        <w:t>Empfehlungsgrad: A</w:t>
      </w:r>
      <w:r w:rsidRPr="0027216C">
        <w:t xml:space="preserve"> </w:t>
      </w:r>
      <w:r w:rsidRPr="0027216C">
        <w:rPr>
          <w:bCs/>
        </w:rPr>
        <w:t>(</w:t>
      </w:r>
      <w:r w:rsidRPr="0027216C">
        <w:t>starke Empfehlung)</w:t>
      </w:r>
    </w:p>
    <w:p w14:paraId="6E6FC793" w14:textId="5D5F5CF8" w:rsidR="003752C4" w:rsidRDefault="00A42038" w:rsidP="003752C4">
      <w:pPr>
        <w:rPr>
          <w:noProof/>
          <w:lang w:val="de-DE"/>
        </w:rPr>
      </w:pPr>
      <w:r w:rsidRPr="00AB07F5">
        <w:rPr>
          <w:rFonts w:ascii="Segoe UI Semibold" w:hAnsi="Segoe UI Semibold" w:cs="Segoe UI Semibold"/>
        </w:rPr>
        <w:t>Qualitätsindikator:</w:t>
      </w:r>
      <w:r w:rsidR="00505F8C" w:rsidRPr="0027216C">
        <w:rPr>
          <w:b/>
          <w:bCs/>
        </w:rPr>
        <w:t xml:space="preserve"> </w:t>
      </w:r>
      <w:r w:rsidR="00A67862" w:rsidRPr="0027216C">
        <w:rPr>
          <w:noProof/>
          <w:lang w:val="de-DE"/>
        </w:rPr>
        <w:t>In</w:t>
      </w:r>
      <w:r w:rsidR="009E78CA" w:rsidRPr="0027216C">
        <w:rPr>
          <w:noProof/>
          <w:lang w:val="de-DE"/>
        </w:rPr>
        <w:t>a</w:t>
      </w:r>
      <w:r w:rsidR="00A67862" w:rsidRPr="0027216C">
        <w:rPr>
          <w:noProof/>
          <w:lang w:val="de-DE"/>
        </w:rPr>
        <w:t>nspruchnahme</w:t>
      </w:r>
      <w:r w:rsidR="009E78CA" w:rsidRPr="0027216C">
        <w:rPr>
          <w:noProof/>
          <w:lang w:val="de-DE"/>
        </w:rPr>
        <w:t xml:space="preserve"> von Leistungen</w:t>
      </w:r>
      <w:r w:rsidR="00A67862" w:rsidRPr="0027216C">
        <w:rPr>
          <w:noProof/>
          <w:lang w:val="de-DE"/>
        </w:rPr>
        <w:t xml:space="preserve"> </w:t>
      </w:r>
      <w:r w:rsidR="009E78CA" w:rsidRPr="0027216C">
        <w:rPr>
          <w:noProof/>
          <w:lang w:val="de-DE"/>
        </w:rPr>
        <w:t>erbracht durch</w:t>
      </w:r>
      <w:r w:rsidR="00A67862" w:rsidRPr="0027216C">
        <w:rPr>
          <w:noProof/>
          <w:lang w:val="de-DE"/>
        </w:rPr>
        <w:t xml:space="preserve"> GDA mit expliziter Wundmanagement-Expertise</w:t>
      </w:r>
      <w:r w:rsidR="009E78CA" w:rsidRPr="0027216C">
        <w:rPr>
          <w:noProof/>
          <w:lang w:val="de-DE"/>
        </w:rPr>
        <w:t xml:space="preserve"> (Datengrundlage derzeit nicht vorhanden)</w:t>
      </w:r>
      <w:r w:rsidR="003752C4">
        <w:rPr>
          <w:noProof/>
          <w:lang w:val="de-DE"/>
        </w:rPr>
        <w:br w:type="page"/>
      </w:r>
    </w:p>
    <w:p w14:paraId="0411ECA3" w14:textId="211E9825" w:rsidR="007E3FAA" w:rsidRPr="0027216C" w:rsidRDefault="00A42038">
      <w:pPr>
        <w:pStyle w:val="berschrift2"/>
      </w:pPr>
      <w:bookmarkStart w:id="95" w:name="_Ref204169747"/>
      <w:bookmarkStart w:id="96" w:name="_Toc211342073"/>
      <w:r w:rsidRPr="0027216C">
        <w:lastRenderedPageBreak/>
        <w:t xml:space="preserve">Empfehlung 5: Schriftlicher </w:t>
      </w:r>
      <w:r w:rsidR="000F393F" w:rsidRPr="0027216C">
        <w:t xml:space="preserve">interprofessioneller </w:t>
      </w:r>
      <w:r w:rsidR="0089299F">
        <w:br/>
      </w:r>
      <w:r w:rsidRPr="0027216C">
        <w:t>Behandlungsplan</w:t>
      </w:r>
      <w:bookmarkEnd w:id="95"/>
      <w:bookmarkEnd w:id="96"/>
    </w:p>
    <w:p w14:paraId="3EAFD845" w14:textId="5D4BF7E5" w:rsidR="007E3FAA" w:rsidRPr="006464C4" w:rsidRDefault="00A42038" w:rsidP="003752C4">
      <w:pPr>
        <w:shd w:val="clear" w:color="auto" w:fill="A0C0D4" w:themeFill="accent2" w:themeFillTint="99"/>
        <w:spacing w:before="0" w:line="240" w:lineRule="auto"/>
        <w:rPr>
          <w:rFonts w:ascii="Segoe UI Semibold" w:hAnsi="Segoe UI Semibold" w:cs="Segoe UI Semibold"/>
        </w:rPr>
      </w:pPr>
      <w:r w:rsidRPr="006464C4">
        <w:rPr>
          <w:rFonts w:ascii="Segoe UI Semibold" w:hAnsi="Segoe UI Semibold" w:cs="Segoe UI Semibold"/>
          <w:noProof/>
          <w:lang w:eastAsia="de-AT" w:bidi="ar-SA"/>
        </w:rPr>
        <w:drawing>
          <wp:anchor distT="0" distB="0" distL="114300" distR="114300" simplePos="0" relativeHeight="251778048" behindDoc="0" locked="0" layoutInCell="1" allowOverlap="1" wp14:anchorId="128872F6" wp14:editId="17AEF0BB">
            <wp:simplePos x="0" y="0"/>
            <wp:positionH relativeFrom="margin">
              <wp:align>left</wp:align>
            </wp:positionH>
            <wp:positionV relativeFrom="paragraph">
              <wp:posOffset>63468</wp:posOffset>
            </wp:positionV>
            <wp:extent cx="491490" cy="537210"/>
            <wp:effectExtent l="0" t="0" r="3810" b="0"/>
            <wp:wrapSquare wrapText="bothSides"/>
            <wp:docPr id="1155366635" name="Grafik 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15722" name="Grafik 4" descr="Ein Bild, das Schwarz, Dunkelheit enthält.&#10;&#10;Automatisch generierte Beschreibu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490" cy="537210"/>
                    </a:xfrm>
                    <a:prstGeom prst="rect">
                      <a:avLst/>
                    </a:prstGeom>
                    <a:noFill/>
                  </pic:spPr>
                </pic:pic>
              </a:graphicData>
            </a:graphic>
            <wp14:sizeRelH relativeFrom="margin">
              <wp14:pctWidth>0</wp14:pctWidth>
            </wp14:sizeRelH>
            <wp14:sizeRelV relativeFrom="margin">
              <wp14:pctHeight>0</wp14:pctHeight>
            </wp14:sizeRelV>
          </wp:anchor>
        </w:drawing>
      </w:r>
      <w:r w:rsidR="00B820B9" w:rsidRPr="006464C4">
        <w:rPr>
          <w:rFonts w:ascii="Segoe UI Semibold" w:hAnsi="Segoe UI Semibold" w:cs="Segoe UI Semibold"/>
        </w:rPr>
        <w:t xml:space="preserve">Für </w:t>
      </w:r>
      <w:r w:rsidR="00740F13" w:rsidRPr="006464C4">
        <w:rPr>
          <w:rFonts w:ascii="Segoe UI Semibold" w:hAnsi="Segoe UI Semibold" w:cs="Segoe UI Semibold"/>
        </w:rPr>
        <w:t xml:space="preserve">jede Patientin bzw. jeden Patienten mit einer chronischen Wunde soll ein gemeinsam mit der Patientin bzw. dem Patienten entwickelter und mit den unterschiedlichen Professionen abgestimmter schriftlicher Behandlungsplan durch das Behandlungsteam erstellt </w:t>
      </w:r>
      <w:r w:rsidR="00B820B9" w:rsidRPr="006464C4">
        <w:rPr>
          <w:rFonts w:ascii="Segoe UI Semibold" w:hAnsi="Segoe UI Semibold" w:cs="Segoe UI Semibold"/>
        </w:rPr>
        <w:t>werden</w:t>
      </w:r>
      <w:r w:rsidRPr="006464C4">
        <w:rPr>
          <w:rFonts w:ascii="Segoe UI Semibold" w:hAnsi="Segoe UI Semibold" w:cs="Segoe UI Semibold"/>
        </w:rPr>
        <w:t>.</w:t>
      </w:r>
    </w:p>
    <w:p w14:paraId="7B08AB99" w14:textId="5F58ACDD" w:rsidR="007E3FAA" w:rsidRPr="006464C4" w:rsidRDefault="00A42038">
      <w:pPr>
        <w:spacing w:before="360"/>
        <w:rPr>
          <w:rFonts w:ascii="Segoe UI Semibold" w:hAnsi="Segoe UI Semibold" w:cs="Segoe UI Semibold"/>
        </w:rPr>
      </w:pPr>
      <w:r w:rsidRPr="006464C4">
        <w:rPr>
          <w:rFonts w:ascii="Segoe UI Semibold" w:hAnsi="Segoe UI Semibold" w:cs="Segoe UI Semibold"/>
        </w:rPr>
        <w:t xml:space="preserve">Hintergrund / weiterführende Information </w:t>
      </w:r>
    </w:p>
    <w:p w14:paraId="16AC194D" w14:textId="5D7A2B92" w:rsidR="007E3FAA" w:rsidRPr="0027216C" w:rsidRDefault="00A42038">
      <w:pPr>
        <w:spacing w:before="120"/>
      </w:pPr>
      <w:r w:rsidRPr="0027216C">
        <w:t xml:space="preserve">Der Behandlungsplan soll </w:t>
      </w:r>
      <w:r w:rsidR="00051911" w:rsidRPr="0027216C">
        <w:t>inter</w:t>
      </w:r>
      <w:r w:rsidRPr="0027216C">
        <w:t>professione</w:t>
      </w:r>
      <w:r w:rsidR="00051911" w:rsidRPr="0027216C">
        <w:t>l</w:t>
      </w:r>
      <w:r w:rsidRPr="0027216C">
        <w:t>l</w:t>
      </w:r>
      <w:r w:rsidRPr="0027216C">
        <w:rPr>
          <w:color w:val="00B050"/>
        </w:rPr>
        <w:t xml:space="preserve"> </w:t>
      </w:r>
      <w:r w:rsidRPr="0027216C">
        <w:t xml:space="preserve">erstellt werden. Er umfasst das mit </w:t>
      </w:r>
      <w:r w:rsidR="008D43B6">
        <w:t>der Patientin bzw. dem Patienten</w:t>
      </w:r>
      <w:r w:rsidRPr="0027216C">
        <w:t xml:space="preserve"> gemeinsam festgelegte Behandlungsziel sowie die lokaltherapeutische Versorgung, die Intervalle der Verband</w:t>
      </w:r>
      <w:r w:rsidR="008D598B">
        <w:t>s</w:t>
      </w:r>
      <w:r w:rsidRPr="0027216C">
        <w:t>wechsel, die begleitenden Maßnahmen bis zur nächsten Evaluation, die beteiligten GDA und ggfs. die ausführende Person. Bei der Erstellung des Behandlungsplans sollen jedenfalls auch Aspekte der Lebensqualität und des Schmerzmanagements mitbedacht werden (vgl. Eri</w:t>
      </w:r>
      <w:r w:rsidR="007D31D9" w:rsidRPr="0027216C">
        <w:t>k</w:t>
      </w:r>
      <w:r w:rsidRPr="0027216C">
        <w:t>sson 2022</w:t>
      </w:r>
      <w:r w:rsidR="009E6C55">
        <w:t>;</w:t>
      </w:r>
      <w:r w:rsidRPr="0027216C">
        <w:t xml:space="preserve"> EPUAP 20</w:t>
      </w:r>
      <w:r w:rsidR="00B323F6">
        <w:t>20</w:t>
      </w:r>
      <w:r w:rsidRPr="0027216C">
        <w:t xml:space="preserve">). Wenn Änderungen </w:t>
      </w:r>
      <w:r w:rsidR="0004778F">
        <w:t>i</w:t>
      </w:r>
      <w:r w:rsidRPr="0027216C">
        <w:t>m Behandlungsplan notwendig werden, sollen diese ebenfalls schriftlich festgehalten und begründet werden (vgl. Guest 2017</w:t>
      </w:r>
      <w:r w:rsidR="0004778F">
        <w:t>;</w:t>
      </w:r>
      <w:r w:rsidRPr="0027216C">
        <w:t xml:space="preserve"> IWGDF 2023). Die Inhalte des Behandlungsplans werden mit der</w:t>
      </w:r>
      <w:r w:rsidR="008D43B6">
        <w:t xml:space="preserve"> Patientin bzw. dem Patienten</w:t>
      </w:r>
      <w:r w:rsidRPr="0027216C">
        <w:t xml:space="preserve"> und ggfs. mit der ausführenden Person besprochen und verständlich kommuniziert, um eine Therapieadhärenz zu erreichen (vgl. </w:t>
      </w:r>
      <w:proofErr w:type="spellStart"/>
      <w:r w:rsidRPr="0027216C">
        <w:t>Gethin</w:t>
      </w:r>
      <w:proofErr w:type="spellEnd"/>
      <w:r w:rsidRPr="0027216C">
        <w:t xml:space="preserve"> 2020</w:t>
      </w:r>
      <w:r w:rsidR="0004778F">
        <w:t>;</w:t>
      </w:r>
      <w:r w:rsidRPr="0027216C">
        <w:t xml:space="preserve"> </w:t>
      </w:r>
      <w:proofErr w:type="spellStart"/>
      <w:r w:rsidRPr="0027216C">
        <w:t>Clemett</w:t>
      </w:r>
      <w:proofErr w:type="spellEnd"/>
      <w:r w:rsidRPr="0027216C">
        <w:t xml:space="preserve"> 2024).</w:t>
      </w:r>
    </w:p>
    <w:p w14:paraId="6353573E" w14:textId="43D569C9" w:rsidR="007E3FAA" w:rsidRPr="006464C4" w:rsidRDefault="00A42038">
      <w:pPr>
        <w:rPr>
          <w:rFonts w:ascii="Segoe UI Semibold" w:hAnsi="Segoe UI Semibold" w:cs="Segoe UI Semibold"/>
        </w:rPr>
      </w:pPr>
      <w:r w:rsidRPr="006464C4">
        <w:rPr>
          <w:rFonts w:ascii="Segoe UI Semibold" w:hAnsi="Segoe UI Semibold" w:cs="Segoe UI Semibold"/>
        </w:rPr>
        <w:t>Evidenzbasis:</w:t>
      </w:r>
    </w:p>
    <w:p w14:paraId="0F46CF2D" w14:textId="08EAD4E0" w:rsidR="007E3FAA" w:rsidRPr="0027216C" w:rsidRDefault="00A94C29">
      <w:pPr>
        <w:spacing w:before="0"/>
      </w:pPr>
      <w:r w:rsidRPr="00A94C29">
        <w:t>Beobachtungsstudien und Expertenkonsens in</w:t>
      </w:r>
      <w:r w:rsidR="00A42038" w:rsidRPr="0027216C">
        <w:t>:</w:t>
      </w:r>
    </w:p>
    <w:p w14:paraId="2A86A92C" w14:textId="02AD6B1A" w:rsidR="007E3FAA" w:rsidRDefault="00A42038" w:rsidP="006464C4">
      <w:pPr>
        <w:pStyle w:val="Liste1"/>
      </w:pPr>
      <w:r w:rsidRPr="0027216C">
        <w:t xml:space="preserve">AWMF </w:t>
      </w:r>
      <w:r w:rsidR="0004778F">
        <w:t>(</w:t>
      </w:r>
      <w:r w:rsidRPr="0027216C">
        <w:t>2023</w:t>
      </w:r>
      <w:r w:rsidR="0004778F">
        <w:t>)</w:t>
      </w:r>
      <w:r w:rsidRPr="0027216C">
        <w:t>: S3‐Leitlinie Lokaltherapie chronischer Wunden</w:t>
      </w:r>
    </w:p>
    <w:p w14:paraId="6DC95087" w14:textId="6982D9D9" w:rsidR="00A94C29" w:rsidRDefault="00A94C29" w:rsidP="003F09DE">
      <w:pPr>
        <w:pStyle w:val="Liste1"/>
        <w:rPr>
          <w:lang w:val="en-US"/>
        </w:rPr>
      </w:pPr>
      <w:proofErr w:type="spellStart"/>
      <w:r w:rsidRPr="00A94C29">
        <w:rPr>
          <w:lang w:val="en-US"/>
        </w:rPr>
        <w:t>Clemett</w:t>
      </w:r>
      <w:proofErr w:type="spellEnd"/>
      <w:r w:rsidRPr="00A94C29">
        <w:rPr>
          <w:lang w:val="en-US"/>
        </w:rPr>
        <w:t xml:space="preserve"> (2024): Effectiveness of interventions to enhance shared</w:t>
      </w:r>
      <w:r>
        <w:rPr>
          <w:lang w:val="en-US"/>
        </w:rPr>
        <w:t xml:space="preserve"> </w:t>
      </w:r>
      <w:r w:rsidRPr="00A94C29">
        <w:rPr>
          <w:lang w:val="en-US"/>
        </w:rPr>
        <w:t>decision-making in wound care: A systematic review</w:t>
      </w:r>
    </w:p>
    <w:p w14:paraId="2154084B" w14:textId="77777777" w:rsidR="00B323F6" w:rsidRDefault="00B323F6" w:rsidP="00B323F6">
      <w:pPr>
        <w:pStyle w:val="Liste1"/>
      </w:pPr>
      <w:r w:rsidRPr="0027216C">
        <w:t xml:space="preserve">EPUAP </w:t>
      </w:r>
      <w:r>
        <w:t>(</w:t>
      </w:r>
      <w:r w:rsidRPr="0027216C">
        <w:t>2020</w:t>
      </w:r>
      <w:r>
        <w:t>)</w:t>
      </w:r>
      <w:r w:rsidRPr="0027216C">
        <w:t>: Prävention und Behandlung von Dekubitus</w:t>
      </w:r>
    </w:p>
    <w:p w14:paraId="1D0991E1" w14:textId="08876800" w:rsidR="00A94C29" w:rsidRPr="00B323F6" w:rsidRDefault="00A94C29" w:rsidP="00B323F6">
      <w:pPr>
        <w:pStyle w:val="Liste1"/>
        <w:rPr>
          <w:lang w:val="en-US"/>
        </w:rPr>
      </w:pPr>
      <w:r w:rsidRPr="00A94C29">
        <w:rPr>
          <w:lang w:val="en-US"/>
        </w:rPr>
        <w:t xml:space="preserve">Gethin (2020): </w:t>
      </w:r>
      <w:r>
        <w:rPr>
          <w:lang w:val="en-US"/>
        </w:rPr>
        <w:t>Evidence for person-centered care in chronic wound care</w:t>
      </w:r>
    </w:p>
    <w:p w14:paraId="0B14BCD4" w14:textId="77777777" w:rsidR="007E3FAA" w:rsidRPr="0027216C" w:rsidRDefault="00A42038">
      <w:pPr>
        <w:rPr>
          <w:bCs/>
        </w:rPr>
      </w:pPr>
      <w:r w:rsidRPr="006464C4">
        <w:rPr>
          <w:rFonts w:ascii="Segoe UI Semibold" w:hAnsi="Segoe UI Semibold" w:cs="Segoe UI Semibold"/>
        </w:rPr>
        <w:t>Evidenzstärke:</w:t>
      </w:r>
      <w:r w:rsidRPr="0027216C">
        <w:t xml:space="preserve"> </w:t>
      </w:r>
      <w:r w:rsidRPr="0027216C">
        <w:rPr>
          <w:bCs/>
        </w:rPr>
        <w:t>niedrig</w:t>
      </w:r>
    </w:p>
    <w:p w14:paraId="359CBB34" w14:textId="77777777" w:rsidR="007E3FAA" w:rsidRPr="0027216C" w:rsidRDefault="00A42038">
      <w:r w:rsidRPr="006464C4">
        <w:rPr>
          <w:rFonts w:ascii="Segoe UI Semibold" w:hAnsi="Segoe UI Semibold" w:cs="Segoe UI Semibold"/>
        </w:rPr>
        <w:t>Empfehlungsgrad: A</w:t>
      </w:r>
      <w:r w:rsidRPr="0027216C">
        <w:t xml:space="preserve"> </w:t>
      </w:r>
      <w:r w:rsidRPr="0027216C">
        <w:rPr>
          <w:bCs/>
        </w:rPr>
        <w:t>(</w:t>
      </w:r>
      <w:r w:rsidRPr="0027216C">
        <w:t>starke Empfehlung)</w:t>
      </w:r>
    </w:p>
    <w:p w14:paraId="50E28F5C" w14:textId="7FC8B3F5" w:rsidR="007E3FAA" w:rsidRPr="0027216C" w:rsidRDefault="00A42038" w:rsidP="003752C4">
      <w:r w:rsidRPr="006464C4">
        <w:rPr>
          <w:rFonts w:ascii="Segoe UI Semibold" w:hAnsi="Segoe UI Semibold" w:cs="Segoe UI Semibold"/>
        </w:rPr>
        <w:t>Qualitätsindikator:</w:t>
      </w:r>
      <w:r w:rsidRPr="0027216C">
        <w:rPr>
          <w:b/>
          <w:bCs/>
        </w:rPr>
        <w:t xml:space="preserve"> </w:t>
      </w:r>
      <w:r w:rsidR="00505F8C" w:rsidRPr="0027216C">
        <w:t>nicht definiert</w:t>
      </w:r>
    </w:p>
    <w:p w14:paraId="1EA2A8EC" w14:textId="51ACB2D1" w:rsidR="007E3FAA" w:rsidRPr="0027216C" w:rsidRDefault="00A42038">
      <w:pPr>
        <w:pStyle w:val="berschrift2"/>
        <w:pageBreakBefore/>
      </w:pPr>
      <w:bookmarkStart w:id="97" w:name="_Ref209708771"/>
      <w:bookmarkStart w:id="98" w:name="_Ref209708779"/>
      <w:bookmarkStart w:id="99" w:name="_Toc211342074"/>
      <w:r w:rsidRPr="0027216C">
        <w:lastRenderedPageBreak/>
        <w:t>Empfehlung 6: Lokaltherapeutische Versorgung</w:t>
      </w:r>
      <w:bookmarkEnd w:id="97"/>
      <w:bookmarkEnd w:id="98"/>
      <w:bookmarkEnd w:id="99"/>
    </w:p>
    <w:p w14:paraId="613719CF" w14:textId="2CFB1F44" w:rsidR="007E3FAA" w:rsidRPr="006464C4" w:rsidRDefault="00A42038" w:rsidP="003752C4">
      <w:pPr>
        <w:shd w:val="clear" w:color="auto" w:fill="A0C0D4" w:themeFill="accent2" w:themeFillTint="99"/>
        <w:spacing w:before="0" w:line="240" w:lineRule="auto"/>
        <w:rPr>
          <w:rFonts w:ascii="Segoe UI Semibold" w:hAnsi="Segoe UI Semibold" w:cs="Segoe UI Semibold"/>
        </w:rPr>
      </w:pPr>
      <w:r w:rsidRPr="006464C4">
        <w:rPr>
          <w:rFonts w:ascii="Segoe UI Semibold" w:hAnsi="Segoe UI Semibold" w:cs="Segoe UI Semibold"/>
          <w:noProof/>
          <w:lang w:eastAsia="de-AT" w:bidi="ar-SA"/>
        </w:rPr>
        <w:drawing>
          <wp:anchor distT="0" distB="0" distL="114300" distR="114300" simplePos="0" relativeHeight="251780096" behindDoc="0" locked="0" layoutInCell="1" allowOverlap="1" wp14:anchorId="2D55F39A" wp14:editId="556F213A">
            <wp:simplePos x="0" y="0"/>
            <wp:positionH relativeFrom="margin">
              <wp:align>left</wp:align>
            </wp:positionH>
            <wp:positionV relativeFrom="page">
              <wp:posOffset>1285554</wp:posOffset>
            </wp:positionV>
            <wp:extent cx="570230" cy="520700"/>
            <wp:effectExtent l="0" t="0" r="0" b="0"/>
            <wp:wrapSquare wrapText="bothSides"/>
            <wp:docPr id="1477223217"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44715" name="Grafik 1" descr="Ein Bild, das Schwarz, Dunkelheit enthält.&#10;&#10;Automatisch generierte Beschreibung"/>
                    <pic:cNvPicPr/>
                  </pic:nvPicPr>
                  <pic:blipFill rotWithShape="1">
                    <a:blip r:embed="rId18" cstate="print">
                      <a:extLst>
                        <a:ext uri="{28A0092B-C50C-407E-A947-70E740481C1C}">
                          <a14:useLocalDpi xmlns:a14="http://schemas.microsoft.com/office/drawing/2010/main" val="0"/>
                        </a:ext>
                      </a:extLst>
                    </a:blip>
                    <a:srcRect l="6130" t="2009" r="7252" b="18927"/>
                    <a:stretch/>
                  </pic:blipFill>
                  <pic:spPr bwMode="auto">
                    <a:xfrm>
                      <a:off x="0" y="0"/>
                      <a:ext cx="572220" cy="5222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64C4">
        <w:rPr>
          <w:rFonts w:ascii="Segoe UI Semibold" w:hAnsi="Segoe UI Semibold" w:cs="Segoe UI Semibold"/>
        </w:rPr>
        <w:t>Geeignete Wundversorgungsprodukte sollen auf Basis der klinischen Beurteilung und unter Berücksichtigung der vereinbarten Behandlungsziele und Pflegefähigkeiten der</w:t>
      </w:r>
      <w:r w:rsidR="00D211E5" w:rsidRPr="006464C4">
        <w:rPr>
          <w:rFonts w:ascii="Segoe UI Semibold" w:hAnsi="Segoe UI Semibold" w:cs="Segoe UI Semibold"/>
        </w:rPr>
        <w:t xml:space="preserve"> Patientin bzw. des Patienten</w:t>
      </w:r>
      <w:r w:rsidRPr="006464C4">
        <w:rPr>
          <w:rFonts w:ascii="Segoe UI Semibold" w:hAnsi="Segoe UI Semibold" w:cs="Segoe UI Semibold"/>
        </w:rPr>
        <w:t xml:space="preserve"> und informeller Pflegender ausgewählt werden. Dabei sollen Aspekte der Behandlungseffizienz mitberücksichtigt werden. Ein Wundmonitoring zur Überwachung der Wundheilung soll bei jedem Verbandswechsel</w:t>
      </w:r>
      <w:r w:rsidRPr="008D598B">
        <w:rPr>
          <w:rFonts w:cs="Lucida Sans Unicode"/>
          <w:b/>
          <w:bCs/>
        </w:rPr>
        <w:t xml:space="preserve"> </w:t>
      </w:r>
      <w:r w:rsidRPr="006464C4">
        <w:rPr>
          <w:rFonts w:ascii="Segoe UI Semibold" w:hAnsi="Segoe UI Semibold" w:cs="Segoe UI Semibold"/>
        </w:rPr>
        <w:t>erfolgen.</w:t>
      </w:r>
    </w:p>
    <w:p w14:paraId="19E5FD42" w14:textId="6954DCA8" w:rsidR="007E3FAA" w:rsidRPr="006464C4" w:rsidRDefault="00A42038">
      <w:pPr>
        <w:spacing w:before="360"/>
        <w:rPr>
          <w:rFonts w:ascii="Segoe UI Semibold" w:hAnsi="Segoe UI Semibold" w:cs="Segoe UI Semibold"/>
        </w:rPr>
      </w:pPr>
      <w:r w:rsidRPr="006464C4">
        <w:rPr>
          <w:rFonts w:ascii="Segoe UI Semibold" w:hAnsi="Segoe UI Semibold" w:cs="Segoe UI Semibold"/>
        </w:rPr>
        <w:t>Hintergrund / weiterführende Information</w:t>
      </w:r>
    </w:p>
    <w:p w14:paraId="27318566" w14:textId="77A205F9" w:rsidR="007E3FAA" w:rsidRPr="0027216C" w:rsidRDefault="00A42038">
      <w:pPr>
        <w:spacing w:before="120"/>
        <w:rPr>
          <w:rFonts w:eastAsia="Times New Roman"/>
          <w:lang w:val="de-DE" w:eastAsia="de-AT" w:bidi="ar-SA"/>
        </w:rPr>
      </w:pPr>
      <w:r w:rsidRPr="0027216C">
        <w:t>Die wissenschaftlich-medizinische Grundlage der Lokaltherapie von chronischen Wunden bilden vorliegende evidenzbasierte Leitlinien (u</w:t>
      </w:r>
      <w:r w:rsidR="00B00B64" w:rsidRPr="0027216C">
        <w:t>.</w:t>
      </w:r>
      <w:r w:rsidR="00B00B64">
        <w:t> </w:t>
      </w:r>
      <w:r w:rsidRPr="0027216C">
        <w:t>a. AWMF 2023</w:t>
      </w:r>
      <w:r w:rsidR="00B00B64">
        <w:t>;</w:t>
      </w:r>
      <w:r w:rsidRPr="0027216C">
        <w:t xml:space="preserve"> </w:t>
      </w:r>
      <w:r w:rsidRPr="0027216C">
        <w:rPr>
          <w:rFonts w:cs="Segoe UI"/>
          <w:szCs w:val="20"/>
        </w:rPr>
        <w:t>EPUAP 2020</w:t>
      </w:r>
      <w:r w:rsidR="00B00B64">
        <w:rPr>
          <w:rFonts w:cs="Segoe UI"/>
          <w:szCs w:val="20"/>
        </w:rPr>
        <w:t>;</w:t>
      </w:r>
      <w:r w:rsidR="00B00B64" w:rsidRPr="0027216C">
        <w:rPr>
          <w:rFonts w:cs="Segoe UI"/>
          <w:szCs w:val="20"/>
        </w:rPr>
        <w:t xml:space="preserve"> </w:t>
      </w:r>
      <w:r w:rsidRPr="0027216C">
        <w:rPr>
          <w:rFonts w:cs="Segoe UI"/>
          <w:szCs w:val="20"/>
        </w:rPr>
        <w:t>IWGDF 2023).</w:t>
      </w:r>
      <w:r w:rsidRPr="0027216C">
        <w:rPr>
          <w:rFonts w:eastAsia="Times New Roman"/>
          <w:lang w:eastAsia="de-AT" w:bidi="ar-SA"/>
        </w:rPr>
        <w:t xml:space="preserve"> Bei der Auswahl der Wundversorgungsprodukte sollen neben den klinischen Aspekten (Wundbeschaffenheit, Infektionen, Beschaffenheit des Exsudats, Schmerz etc.) auch Aspekte der Selbstpflegefähigkeiten der </w:t>
      </w:r>
      <w:r w:rsidR="001C0C96">
        <w:rPr>
          <w:rFonts w:eastAsia="Times New Roman"/>
          <w:lang w:eastAsia="de-AT" w:bidi="ar-SA"/>
        </w:rPr>
        <w:t>Patientinnen und Patienten</w:t>
      </w:r>
      <w:r w:rsidRPr="0027216C">
        <w:rPr>
          <w:rFonts w:eastAsia="Times New Roman"/>
          <w:lang w:eastAsia="de-AT" w:bidi="ar-SA"/>
        </w:rPr>
        <w:t xml:space="preserve"> sowie die Fähigkeiten der betreuenden Personen berücksichtigt werden (EPUAP 2019). Ebenfalls sollen hinsichtlich der Auswahl der geeigneten Wundversorgungsprodukte Aspekte der Behandlungsökonomie berücksichtigt werden (z. B. Produktkombination oder Kombinationsprodukt, günstigere gleichwertige Alternativen, passende Packungsgrößen). </w:t>
      </w:r>
      <w:r w:rsidR="00C824FD" w:rsidRPr="0027216C">
        <w:rPr>
          <w:rFonts w:eastAsia="Times New Roman"/>
          <w:lang w:eastAsia="de-AT" w:bidi="ar-SA"/>
        </w:rPr>
        <w:t xml:space="preserve">Die </w:t>
      </w:r>
      <w:r w:rsidR="00C824FD" w:rsidRPr="0027216C">
        <w:rPr>
          <w:rFonts w:eastAsia="Times New Roman"/>
          <w:lang w:val="de-DE" w:eastAsia="de-AT" w:bidi="ar-SA"/>
        </w:rPr>
        <w:t xml:space="preserve">Richtlinien über die ökonomische </w:t>
      </w:r>
      <w:proofErr w:type="spellStart"/>
      <w:r w:rsidR="00C824FD" w:rsidRPr="0027216C">
        <w:rPr>
          <w:rFonts w:eastAsia="Times New Roman"/>
          <w:lang w:val="de-DE" w:eastAsia="de-AT" w:bidi="ar-SA"/>
        </w:rPr>
        <w:t>Verschreibweise</w:t>
      </w:r>
      <w:proofErr w:type="spellEnd"/>
      <w:r w:rsidR="00C824FD" w:rsidRPr="0027216C">
        <w:rPr>
          <w:rFonts w:eastAsia="Times New Roman"/>
          <w:lang w:val="de-DE" w:eastAsia="de-AT" w:bidi="ar-SA"/>
        </w:rPr>
        <w:t xml:space="preserve"> von Heilmitteln und Heilbehelfen</w:t>
      </w:r>
      <w:r w:rsidR="00983D82" w:rsidRPr="0027216C">
        <w:rPr>
          <w:rFonts w:eastAsia="Times New Roman"/>
          <w:lang w:val="de-DE" w:eastAsia="de-AT" w:bidi="ar-SA"/>
        </w:rPr>
        <w:t xml:space="preserve"> (RÖV 2024)</w:t>
      </w:r>
      <w:r w:rsidR="00C824FD" w:rsidRPr="0027216C">
        <w:rPr>
          <w:rFonts w:eastAsia="Times New Roman"/>
          <w:lang w:val="de-DE" w:eastAsia="de-AT" w:bidi="ar-SA"/>
        </w:rPr>
        <w:t xml:space="preserve"> sollen hierbei </w:t>
      </w:r>
      <w:r w:rsidR="00BC533A" w:rsidRPr="0027216C">
        <w:rPr>
          <w:rFonts w:eastAsia="Times New Roman"/>
          <w:lang w:val="de-DE" w:eastAsia="de-AT" w:bidi="ar-SA"/>
        </w:rPr>
        <w:t>eingehalten</w:t>
      </w:r>
      <w:r w:rsidR="00C824FD" w:rsidRPr="0027216C">
        <w:rPr>
          <w:rFonts w:eastAsia="Times New Roman"/>
          <w:lang w:val="de-DE" w:eastAsia="de-AT" w:bidi="ar-SA"/>
        </w:rPr>
        <w:t xml:space="preserve"> werden.</w:t>
      </w:r>
    </w:p>
    <w:p w14:paraId="31D76B47" w14:textId="5808B78A" w:rsidR="007E3FAA" w:rsidRPr="0027216C" w:rsidRDefault="00A42038">
      <w:pPr>
        <w:rPr>
          <w:rFonts w:eastAsia="Times New Roman"/>
          <w:lang w:eastAsia="de-AT" w:bidi="ar-SA"/>
        </w:rPr>
      </w:pPr>
      <w:r w:rsidRPr="0027216C">
        <w:rPr>
          <w:rFonts w:eastAsia="Times New Roman"/>
          <w:lang w:eastAsia="de-AT" w:bidi="ar-SA"/>
        </w:rPr>
        <w:t xml:space="preserve">Ein Wundmonitoring ist bei jedem Verbandswechsel durch </w:t>
      </w:r>
      <w:proofErr w:type="spellStart"/>
      <w:proofErr w:type="gramStart"/>
      <w:r w:rsidRPr="0027216C">
        <w:rPr>
          <w:rFonts w:eastAsia="Times New Roman"/>
          <w:lang w:eastAsia="de-AT" w:bidi="ar-SA"/>
        </w:rPr>
        <w:t>eine</w:t>
      </w:r>
      <w:r w:rsidR="0052686A">
        <w:rPr>
          <w:rFonts w:eastAsia="Times New Roman"/>
          <w:lang w:eastAsia="de-AT" w:bidi="ar-SA"/>
        </w:rPr>
        <w:t>:</w:t>
      </w:r>
      <w:r w:rsidRPr="0027216C">
        <w:rPr>
          <w:rFonts w:eastAsia="Times New Roman"/>
          <w:lang w:eastAsia="de-AT" w:bidi="ar-SA"/>
        </w:rPr>
        <w:t>n</w:t>
      </w:r>
      <w:proofErr w:type="spellEnd"/>
      <w:proofErr w:type="gramEnd"/>
      <w:r w:rsidRPr="0027216C">
        <w:rPr>
          <w:rFonts w:eastAsia="Times New Roman"/>
          <w:lang w:eastAsia="de-AT" w:bidi="ar-SA"/>
        </w:rPr>
        <w:t xml:space="preserve"> GDA durchzuführen. Beim Wundmonitoring wird beobachtet, ob die Therapie zu erwünschten und/oder unerwünschten lokalen oder systemischen Veränderungen geführt hat. Gegebenenfalls hat eine Therapieevaluation stattzufinden (siehe </w:t>
      </w:r>
      <w:r w:rsidR="006464C4">
        <w:rPr>
          <w:rFonts w:eastAsia="Times New Roman"/>
          <w:lang w:eastAsia="de-AT" w:bidi="ar-SA"/>
        </w:rPr>
        <w:fldChar w:fldCharType="begin"/>
      </w:r>
      <w:r w:rsidR="006464C4">
        <w:rPr>
          <w:rFonts w:eastAsia="Times New Roman"/>
          <w:lang w:eastAsia="de-AT" w:bidi="ar-SA"/>
        </w:rPr>
        <w:instrText xml:space="preserve"> REF _Ref204169754 \h </w:instrText>
      </w:r>
      <w:r w:rsidR="006464C4">
        <w:rPr>
          <w:rFonts w:eastAsia="Times New Roman"/>
          <w:lang w:eastAsia="de-AT" w:bidi="ar-SA"/>
        </w:rPr>
      </w:r>
      <w:r w:rsidR="006464C4">
        <w:rPr>
          <w:rFonts w:eastAsia="Times New Roman"/>
          <w:lang w:eastAsia="de-AT" w:bidi="ar-SA"/>
        </w:rPr>
        <w:fldChar w:fldCharType="separate"/>
      </w:r>
      <w:r w:rsidR="006464C4" w:rsidRPr="0027216C">
        <w:t>Empfehlung 8</w:t>
      </w:r>
      <w:r w:rsidR="006464C4">
        <w:rPr>
          <w:rFonts w:eastAsia="Times New Roman"/>
          <w:lang w:eastAsia="de-AT" w:bidi="ar-SA"/>
        </w:rPr>
        <w:fldChar w:fldCharType="end"/>
      </w:r>
      <w:r w:rsidRPr="0027216C">
        <w:rPr>
          <w:rFonts w:eastAsia="Times New Roman"/>
          <w:lang w:eastAsia="de-AT" w:bidi="ar-SA"/>
        </w:rPr>
        <w:t>). Eine Dokumentation des Wundmonitorings hat in jedem Fall zu erfolgen.</w:t>
      </w:r>
    </w:p>
    <w:p w14:paraId="303B58BD" w14:textId="77777777" w:rsidR="007E3FAA" w:rsidRPr="006464C4" w:rsidRDefault="00A42038">
      <w:pPr>
        <w:rPr>
          <w:rFonts w:ascii="Segoe UI Semibold" w:hAnsi="Segoe UI Semibold" w:cs="Segoe UI Semibold"/>
        </w:rPr>
      </w:pPr>
      <w:r w:rsidRPr="006464C4">
        <w:rPr>
          <w:rFonts w:ascii="Segoe UI Semibold" w:hAnsi="Segoe UI Semibold" w:cs="Segoe UI Semibold"/>
        </w:rPr>
        <w:t>Evidenzbasis:</w:t>
      </w:r>
    </w:p>
    <w:p w14:paraId="6FC80B3F" w14:textId="77777777" w:rsidR="007E3FAA" w:rsidRPr="0027216C" w:rsidRDefault="00A42038">
      <w:pPr>
        <w:spacing w:before="0"/>
      </w:pPr>
      <w:r w:rsidRPr="0027216C">
        <w:t>Beobachtungsstudien in:</w:t>
      </w:r>
    </w:p>
    <w:p w14:paraId="68645FC1" w14:textId="1DCC25B5" w:rsidR="007E3FAA" w:rsidRPr="0027216C" w:rsidRDefault="00A42038" w:rsidP="006464C4">
      <w:pPr>
        <w:pStyle w:val="Liste1"/>
      </w:pPr>
      <w:r w:rsidRPr="0027216C">
        <w:t xml:space="preserve">AWMF </w:t>
      </w:r>
      <w:r w:rsidR="00B13FB6">
        <w:t>(</w:t>
      </w:r>
      <w:r w:rsidRPr="0027216C">
        <w:t>2023</w:t>
      </w:r>
      <w:r w:rsidR="00B13FB6">
        <w:t>)</w:t>
      </w:r>
      <w:r w:rsidRPr="0027216C">
        <w:t>: S3‐Leitlinie Lokaltherapie chronischer Wunden</w:t>
      </w:r>
    </w:p>
    <w:p w14:paraId="6DBA504B" w14:textId="3BCF5B29" w:rsidR="007E3FAA" w:rsidRPr="0027216C" w:rsidRDefault="00A42038" w:rsidP="006464C4">
      <w:pPr>
        <w:pStyle w:val="Liste1"/>
      </w:pPr>
      <w:r w:rsidRPr="0027216C">
        <w:t xml:space="preserve">EPUAP </w:t>
      </w:r>
      <w:r w:rsidR="00B13FB6">
        <w:t>(</w:t>
      </w:r>
      <w:r w:rsidRPr="0027216C">
        <w:t>2020</w:t>
      </w:r>
      <w:r w:rsidR="00B13FB6">
        <w:t>)</w:t>
      </w:r>
      <w:r w:rsidRPr="0027216C">
        <w:t>: Prävention und Behandlung von Dekubitus</w:t>
      </w:r>
    </w:p>
    <w:p w14:paraId="1FA73DA4" w14:textId="1CE8F589" w:rsidR="007E3FAA" w:rsidRPr="0027216C" w:rsidRDefault="00A42038">
      <w:pPr>
        <w:rPr>
          <w:bCs/>
        </w:rPr>
      </w:pPr>
      <w:r w:rsidRPr="006464C4">
        <w:rPr>
          <w:rFonts w:ascii="Segoe UI Semibold" w:hAnsi="Segoe UI Semibold" w:cs="Segoe UI Semibold"/>
        </w:rPr>
        <w:t>Evidenzstärke:</w:t>
      </w:r>
      <w:r w:rsidRPr="0027216C">
        <w:t xml:space="preserve"> </w:t>
      </w:r>
      <w:r w:rsidRPr="0027216C">
        <w:rPr>
          <w:bCs/>
        </w:rPr>
        <w:t>mittel</w:t>
      </w:r>
    </w:p>
    <w:p w14:paraId="6DF481BC" w14:textId="77777777" w:rsidR="007E3FAA" w:rsidRPr="0027216C" w:rsidRDefault="00A42038">
      <w:r w:rsidRPr="006464C4">
        <w:rPr>
          <w:rFonts w:ascii="Segoe UI Semibold" w:hAnsi="Segoe UI Semibold" w:cs="Segoe UI Semibold"/>
        </w:rPr>
        <w:t>Empfehlungsgrad: A</w:t>
      </w:r>
      <w:r w:rsidRPr="0027216C">
        <w:t xml:space="preserve"> </w:t>
      </w:r>
      <w:r w:rsidRPr="0027216C">
        <w:rPr>
          <w:bCs/>
        </w:rPr>
        <w:t>(</w:t>
      </w:r>
      <w:r w:rsidRPr="0027216C">
        <w:t>starke Empfehlung)</w:t>
      </w:r>
    </w:p>
    <w:p w14:paraId="2AD67C37" w14:textId="302040BE" w:rsidR="007E3FAA" w:rsidRPr="0027216C" w:rsidRDefault="00A42038" w:rsidP="003752C4">
      <w:r w:rsidRPr="006464C4">
        <w:rPr>
          <w:rFonts w:ascii="Segoe UI Semibold" w:hAnsi="Segoe UI Semibold" w:cs="Segoe UI Semibold"/>
        </w:rPr>
        <w:t>Qualitätsindikator:</w:t>
      </w:r>
      <w:r w:rsidRPr="0027216C">
        <w:rPr>
          <w:b/>
          <w:bCs/>
        </w:rPr>
        <w:t xml:space="preserve"> </w:t>
      </w:r>
      <w:r w:rsidR="00505F8C" w:rsidRPr="0027216C">
        <w:t>nicht definiert</w:t>
      </w:r>
      <w:r w:rsidRPr="0027216C">
        <w:br w:type="page"/>
      </w:r>
    </w:p>
    <w:p w14:paraId="01680B79" w14:textId="606086CC" w:rsidR="007E3FAA" w:rsidRPr="0027216C" w:rsidRDefault="00A42038">
      <w:pPr>
        <w:pStyle w:val="berschrift2"/>
      </w:pPr>
      <w:bookmarkStart w:id="100" w:name="_Toc211342075"/>
      <w:r w:rsidRPr="0027216C">
        <w:lastRenderedPageBreak/>
        <w:t>Empfehlung 7: Wundbeurteilung und Dokumentation</w:t>
      </w:r>
      <w:bookmarkEnd w:id="100"/>
    </w:p>
    <w:p w14:paraId="0F8CCAFF" w14:textId="7E528FB9" w:rsidR="007E3FAA" w:rsidRPr="006464C4" w:rsidRDefault="00A42038" w:rsidP="003752C4">
      <w:pPr>
        <w:shd w:val="clear" w:color="auto" w:fill="A0C0D4" w:themeFill="accent2" w:themeFillTint="99"/>
        <w:spacing w:before="0" w:line="240" w:lineRule="auto"/>
        <w:rPr>
          <w:rFonts w:ascii="Segoe UI Semibold" w:hAnsi="Segoe UI Semibold" w:cs="Segoe UI Semibold"/>
        </w:rPr>
      </w:pPr>
      <w:r w:rsidRPr="006464C4">
        <w:rPr>
          <w:rFonts w:ascii="Segoe UI Semibold" w:hAnsi="Segoe UI Semibold" w:cs="Segoe UI Semibold"/>
          <w:noProof/>
          <w:lang w:eastAsia="de-AT" w:bidi="ar-SA"/>
        </w:rPr>
        <w:drawing>
          <wp:anchor distT="0" distB="0" distL="114300" distR="114300" simplePos="0" relativeHeight="251782144" behindDoc="0" locked="0" layoutInCell="1" allowOverlap="1" wp14:anchorId="235A9673" wp14:editId="654A6E3A">
            <wp:simplePos x="0" y="0"/>
            <wp:positionH relativeFrom="margin">
              <wp:align>left</wp:align>
            </wp:positionH>
            <wp:positionV relativeFrom="paragraph">
              <wp:posOffset>5594</wp:posOffset>
            </wp:positionV>
            <wp:extent cx="584200" cy="497840"/>
            <wp:effectExtent l="0" t="0" r="0" b="0"/>
            <wp:wrapSquare wrapText="bothSides"/>
            <wp:docPr id="1993070004"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1337" name="Grafik 1" descr="Ein Bild, das Schwarz, Dunkelheit enthält.&#10;&#10;Automatisch generierte Beschreibung"/>
                    <pic:cNvPicPr/>
                  </pic:nvPicPr>
                  <pic:blipFill rotWithShape="1">
                    <a:blip r:embed="rId19" cstate="print">
                      <a:extLst>
                        <a:ext uri="{28A0092B-C50C-407E-A947-70E740481C1C}">
                          <a14:useLocalDpi xmlns:a14="http://schemas.microsoft.com/office/drawing/2010/main" val="0"/>
                        </a:ext>
                      </a:extLst>
                    </a:blip>
                    <a:srcRect b="14808"/>
                    <a:stretch/>
                  </pic:blipFill>
                  <pic:spPr bwMode="auto">
                    <a:xfrm>
                      <a:off x="0" y="0"/>
                      <a:ext cx="584200" cy="497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64C4">
        <w:rPr>
          <w:rFonts w:ascii="Segoe UI Semibold" w:hAnsi="Segoe UI Semibold" w:cs="Segoe UI Semibold"/>
        </w:rPr>
        <w:t>Die Wundbeurteilung soll anhand eines standardisierten Wundbeurteilungs-/</w:t>
      </w:r>
      <w:r w:rsidR="00283F30">
        <w:rPr>
          <w:rFonts w:ascii="Segoe UI Semibold" w:hAnsi="Segoe UI Semibold" w:cs="Segoe UI Semibold"/>
        </w:rPr>
        <w:br/>
      </w:r>
      <w:r w:rsidRPr="006464C4">
        <w:rPr>
          <w:rFonts w:ascii="Segoe UI Semibold" w:hAnsi="Segoe UI Semibold" w:cs="Segoe UI Semibold"/>
        </w:rPr>
        <w:t>Klassifizierungssystems, die Dokumentation anhand von SOPs und standardisierten Dokumentationssystemen erfolgen.</w:t>
      </w:r>
    </w:p>
    <w:p w14:paraId="2754484B" w14:textId="53703DC3" w:rsidR="007E3FAA" w:rsidRPr="006464C4" w:rsidRDefault="00A42038">
      <w:pPr>
        <w:spacing w:before="360"/>
        <w:rPr>
          <w:rFonts w:ascii="Segoe UI Semibold" w:hAnsi="Segoe UI Semibold" w:cs="Segoe UI Semibold"/>
        </w:rPr>
      </w:pPr>
      <w:r w:rsidRPr="006464C4">
        <w:rPr>
          <w:rFonts w:ascii="Segoe UI Semibold" w:hAnsi="Segoe UI Semibold" w:cs="Segoe UI Semibold"/>
        </w:rPr>
        <w:t xml:space="preserve">Hintergrund / </w:t>
      </w:r>
      <w:r w:rsidR="00283F30" w:rsidRPr="006464C4">
        <w:rPr>
          <w:rFonts w:ascii="Segoe UI Semibold" w:hAnsi="Segoe UI Semibold" w:cs="Segoe UI Semibold"/>
        </w:rPr>
        <w:t>w</w:t>
      </w:r>
      <w:r w:rsidRPr="006464C4">
        <w:rPr>
          <w:rFonts w:ascii="Segoe UI Semibold" w:hAnsi="Segoe UI Semibold" w:cs="Segoe UI Semibold"/>
        </w:rPr>
        <w:t>eiterführende Information</w:t>
      </w:r>
    </w:p>
    <w:p w14:paraId="6CD038D9" w14:textId="08D23C03" w:rsidR="00C27ABE" w:rsidRPr="0027216C" w:rsidRDefault="00A42038" w:rsidP="00C27ABE">
      <w:pPr>
        <w:spacing w:before="120"/>
      </w:pPr>
      <w:r w:rsidRPr="0027216C">
        <w:t>Die Wundbeurteilung ist eine wesentliche Grundlage für die Evaluation und Auswahl der lokalen Behandlungsstrategie und der Sicherstellung wundheilungsförderlicher Bedingungen im Wundgebiet. Bei einer Wundbeurteilung handelt es sich um die strukturierte Erfassung relevanter Kriterien, die den I</w:t>
      </w:r>
      <w:r w:rsidR="004A4FE7">
        <w:t>stz</w:t>
      </w:r>
      <w:r w:rsidRPr="0027216C">
        <w:t>ustand einer Wunde und des angrenzenden Gewebes beschreiben und in ihrer Gesamtheit die Beurteilung von Risiken für die Wundheilung ermöglichen (AWMF 2023).</w:t>
      </w:r>
    </w:p>
    <w:p w14:paraId="7A198559" w14:textId="66873A30" w:rsidR="00C27ABE" w:rsidRPr="0027216C" w:rsidRDefault="00C27ABE" w:rsidP="00C27ABE">
      <w:pPr>
        <w:spacing w:before="120"/>
      </w:pPr>
      <w:r w:rsidRPr="0027216C">
        <w:t>Die Wunddokumentation soll zumindest folgende Parameter umfassen:</w:t>
      </w:r>
    </w:p>
    <w:p w14:paraId="401DB09A" w14:textId="77777777" w:rsidR="00C27ABE" w:rsidRPr="0027216C" w:rsidRDefault="00C27ABE" w:rsidP="006464C4">
      <w:pPr>
        <w:pStyle w:val="Liste1"/>
      </w:pPr>
      <w:r w:rsidRPr="0027216C">
        <w:t>Lokalisation</w:t>
      </w:r>
    </w:p>
    <w:p w14:paraId="4E0CD4CB" w14:textId="77777777" w:rsidR="00C27ABE" w:rsidRPr="0027216C" w:rsidRDefault="00C27ABE" w:rsidP="006464C4">
      <w:pPr>
        <w:pStyle w:val="Liste1"/>
      </w:pPr>
      <w:r w:rsidRPr="0027216C">
        <w:t>Wundbeschreibung (Wundgröße, Wundstadium, Exsudation inkl. Beschaffenheit, Anzeichen einer Infektion, Wundrand und Wundumgebung etc.)</w:t>
      </w:r>
    </w:p>
    <w:p w14:paraId="5D4C4936" w14:textId="30B05394" w:rsidR="00C27ABE" w:rsidRPr="0027216C" w:rsidRDefault="004A4FE7" w:rsidP="006464C4">
      <w:pPr>
        <w:pStyle w:val="Liste1"/>
      </w:pPr>
      <w:r>
        <w:t>s</w:t>
      </w:r>
      <w:r w:rsidR="00C27ABE" w:rsidRPr="0027216C">
        <w:t>tandardisierte Fotodokumentation (</w:t>
      </w:r>
      <w:r w:rsidR="00C27ABE" w:rsidRPr="0027216C">
        <w:rPr>
          <w:rFonts w:cs="Segoe UI"/>
        </w:rPr>
        <w:t>zu Beginn, bei jeder Veränderung und bei Abschluss der Behandlung)</w:t>
      </w:r>
    </w:p>
    <w:p w14:paraId="52A171CF" w14:textId="72F137CA" w:rsidR="00C27ABE" w:rsidRPr="0027216C" w:rsidRDefault="00C27ABE" w:rsidP="006464C4">
      <w:pPr>
        <w:pStyle w:val="Liste1"/>
      </w:pPr>
      <w:r w:rsidRPr="0027216C">
        <w:t>Diagnose</w:t>
      </w:r>
    </w:p>
    <w:p w14:paraId="16980032" w14:textId="77777777" w:rsidR="00C27ABE" w:rsidRPr="0027216C" w:rsidRDefault="00C27ABE" w:rsidP="006464C4">
      <w:pPr>
        <w:pStyle w:val="Liste1"/>
      </w:pPr>
      <w:r w:rsidRPr="0027216C">
        <w:t>Behandlungsmaßnahmen und Therapien</w:t>
      </w:r>
    </w:p>
    <w:p w14:paraId="69D38750" w14:textId="60359AA3" w:rsidR="00C27ABE" w:rsidRPr="0027216C" w:rsidRDefault="004A4FE7" w:rsidP="006464C4">
      <w:pPr>
        <w:pStyle w:val="Liste1"/>
      </w:pPr>
      <w:r>
        <w:t>w</w:t>
      </w:r>
      <w:r w:rsidR="00C27ABE" w:rsidRPr="0027216C">
        <w:t>eitere Maßnahmen (wie Kompression und Druckentlastung)</w:t>
      </w:r>
    </w:p>
    <w:p w14:paraId="72FAEE56" w14:textId="77777777" w:rsidR="00C27ABE" w:rsidRPr="0027216C" w:rsidRDefault="00C27ABE" w:rsidP="006464C4">
      <w:pPr>
        <w:pStyle w:val="Liste1"/>
      </w:pPr>
      <w:r w:rsidRPr="0027216C">
        <w:t>Schmerzsituation</w:t>
      </w:r>
    </w:p>
    <w:p w14:paraId="5F0C4E06" w14:textId="4F61A6A2" w:rsidR="007E3FAA" w:rsidRPr="0027216C" w:rsidRDefault="00A42038">
      <w:r w:rsidRPr="0027216C">
        <w:t>Bereits die Erstbeurteilung (</w:t>
      </w:r>
      <w:proofErr w:type="spellStart"/>
      <w:r w:rsidRPr="0027216C">
        <w:t>Erst</w:t>
      </w:r>
      <w:r w:rsidR="004A4FE7">
        <w:t>a</w:t>
      </w:r>
      <w:r w:rsidRPr="0027216C">
        <w:t>ssessment</w:t>
      </w:r>
      <w:proofErr w:type="spellEnd"/>
      <w:r w:rsidRPr="0027216C">
        <w:t xml:space="preserve">) einer chronischen Wunde (bzw. eines Dekubitus) soll anhand eines standardisierten Beurteilungs-/Klassifizierungssystems inklusive Fotodokumentation erfolgen. Im </w:t>
      </w:r>
      <w:proofErr w:type="gramStart"/>
      <w:r w:rsidRPr="0027216C">
        <w:t>weiteren</w:t>
      </w:r>
      <w:proofErr w:type="gramEnd"/>
      <w:r w:rsidRPr="0027216C">
        <w:t xml:space="preserve"> Heilungs- und Therapieverlauf soll mindestens alle </w:t>
      </w:r>
      <w:r w:rsidR="008C28F1" w:rsidRPr="0027216C">
        <w:t>4</w:t>
      </w:r>
      <w:r w:rsidR="004A4FE7">
        <w:t xml:space="preserve"> bis </w:t>
      </w:r>
      <w:r w:rsidR="008C28F1" w:rsidRPr="0027216C">
        <w:t xml:space="preserve">6 </w:t>
      </w:r>
      <w:r w:rsidRPr="0027216C">
        <w:t>Wochen eine Wundbeurteilung (inkl. Fotodokument</w:t>
      </w:r>
      <w:r w:rsidR="004A4FE7">
        <w:t>atio</w:t>
      </w:r>
      <w:r w:rsidRPr="0027216C">
        <w:t>n) durchgeführt werden (AWMF 2023). Bei einem Dekubitus soll die Wundbeurteilung wöchentlich erfolgen (</w:t>
      </w:r>
      <w:r w:rsidRPr="0027216C">
        <w:rPr>
          <w:rFonts w:cs="Segoe UI"/>
          <w:szCs w:val="20"/>
        </w:rPr>
        <w:t>EPUAP 2020)</w:t>
      </w:r>
      <w:r w:rsidRPr="0027216C">
        <w:t xml:space="preserve">. </w:t>
      </w:r>
      <w:r w:rsidRPr="0027216C">
        <w:rPr>
          <w:rFonts w:cs="Lucida Sans Unicode"/>
        </w:rPr>
        <w:t>Bei jedem Verbandswechsel soll zur Überwachung der Wundheilung ein sog</w:t>
      </w:r>
      <w:r w:rsidR="00DA22DA">
        <w:rPr>
          <w:rFonts w:cs="Lucida Sans Unicode"/>
        </w:rPr>
        <w:t>enanntes</w:t>
      </w:r>
      <w:r w:rsidRPr="0027216C">
        <w:rPr>
          <w:rFonts w:cs="Lucida Sans Unicode"/>
        </w:rPr>
        <w:t xml:space="preserve"> Wundmonitoring erfolgen</w:t>
      </w:r>
      <w:r w:rsidRPr="0027216C">
        <w:t>.</w:t>
      </w:r>
    </w:p>
    <w:p w14:paraId="761A2A06" w14:textId="72202EC7" w:rsidR="007E3FAA" w:rsidRPr="0027216C" w:rsidRDefault="00A42038">
      <w:r w:rsidRPr="0027216C">
        <w:t>Für die Wundbeurteilung und Dokumentation liegen mehrere standardisierte deutschsprachige Systeme vor</w:t>
      </w:r>
      <w:r w:rsidR="00505F8C" w:rsidRPr="0027216C">
        <w:t>.</w:t>
      </w:r>
    </w:p>
    <w:p w14:paraId="64CB0CF5" w14:textId="074ABFA0" w:rsidR="007E3FAA" w:rsidRPr="006464C4" w:rsidRDefault="00A42038">
      <w:pPr>
        <w:rPr>
          <w:rFonts w:ascii="Segoe UI Semibold" w:hAnsi="Segoe UI Semibold" w:cs="Segoe UI Semibold"/>
        </w:rPr>
      </w:pPr>
      <w:r w:rsidRPr="006464C4">
        <w:rPr>
          <w:rFonts w:ascii="Segoe UI Semibold" w:hAnsi="Segoe UI Semibold" w:cs="Segoe UI Semibold"/>
        </w:rPr>
        <w:t>Evidenzbasis:</w:t>
      </w:r>
    </w:p>
    <w:p w14:paraId="5CBCF8AE" w14:textId="77777777" w:rsidR="007E3FAA" w:rsidRPr="0027216C" w:rsidRDefault="00A42038">
      <w:pPr>
        <w:spacing w:before="0"/>
      </w:pPr>
      <w:r w:rsidRPr="0027216C">
        <w:t>Beobachtungsstudien in:</w:t>
      </w:r>
    </w:p>
    <w:p w14:paraId="589D17B5" w14:textId="57AF6CFF" w:rsidR="007E3FAA" w:rsidRPr="0027216C" w:rsidRDefault="00A42038" w:rsidP="006464C4">
      <w:pPr>
        <w:pStyle w:val="Liste1"/>
      </w:pPr>
      <w:r w:rsidRPr="0027216C">
        <w:t xml:space="preserve">AWMF </w:t>
      </w:r>
      <w:r w:rsidR="00DA22DA">
        <w:t>(</w:t>
      </w:r>
      <w:r w:rsidRPr="0027216C">
        <w:t>2023</w:t>
      </w:r>
      <w:r w:rsidR="00DA22DA">
        <w:t>)</w:t>
      </w:r>
      <w:r w:rsidRPr="0027216C">
        <w:t>: S3‐Leitlinie Lokaltherapie chronischer Wunden</w:t>
      </w:r>
    </w:p>
    <w:p w14:paraId="1DA35532" w14:textId="7FF55144" w:rsidR="007E3FAA" w:rsidRPr="0027216C" w:rsidRDefault="00A42038" w:rsidP="006464C4">
      <w:pPr>
        <w:pStyle w:val="Liste1"/>
      </w:pPr>
      <w:r w:rsidRPr="0027216C">
        <w:t xml:space="preserve">EPUAP </w:t>
      </w:r>
      <w:r w:rsidR="00DA22DA">
        <w:t>(</w:t>
      </w:r>
      <w:r w:rsidRPr="0027216C">
        <w:t>2020</w:t>
      </w:r>
      <w:r w:rsidR="00DA22DA">
        <w:t>)</w:t>
      </w:r>
      <w:r w:rsidRPr="0027216C">
        <w:t>: Prävention und Behandlung von Dekubitus</w:t>
      </w:r>
    </w:p>
    <w:p w14:paraId="1E081BDC" w14:textId="013BADB8" w:rsidR="007E3FAA" w:rsidRPr="0027216C" w:rsidRDefault="00A42038">
      <w:pPr>
        <w:rPr>
          <w:bCs/>
        </w:rPr>
      </w:pPr>
      <w:r w:rsidRPr="006464C4">
        <w:rPr>
          <w:rFonts w:ascii="Segoe UI Semibold" w:hAnsi="Segoe UI Semibold" w:cs="Segoe UI Semibold"/>
        </w:rPr>
        <w:t>Evidenzstärke:</w:t>
      </w:r>
      <w:r w:rsidRPr="0027216C">
        <w:t xml:space="preserve"> </w:t>
      </w:r>
      <w:r w:rsidRPr="0027216C">
        <w:rPr>
          <w:bCs/>
        </w:rPr>
        <w:t>mittel</w:t>
      </w:r>
    </w:p>
    <w:p w14:paraId="38217F58" w14:textId="77777777" w:rsidR="007E3FAA" w:rsidRPr="0027216C" w:rsidRDefault="00A42038">
      <w:r w:rsidRPr="006464C4">
        <w:rPr>
          <w:rFonts w:ascii="Segoe UI Semibold" w:hAnsi="Segoe UI Semibold" w:cs="Segoe UI Semibold"/>
        </w:rPr>
        <w:t>Empfehlungsgrad: A</w:t>
      </w:r>
      <w:r w:rsidRPr="0027216C">
        <w:t xml:space="preserve"> </w:t>
      </w:r>
      <w:r w:rsidRPr="0027216C">
        <w:rPr>
          <w:bCs/>
        </w:rPr>
        <w:t>(</w:t>
      </w:r>
      <w:r w:rsidRPr="0027216C">
        <w:t>starke Empfehlung)</w:t>
      </w:r>
    </w:p>
    <w:p w14:paraId="781F2430" w14:textId="6AB0F6C2" w:rsidR="007E3FAA" w:rsidRPr="0027216C" w:rsidRDefault="00A42038">
      <w:r w:rsidRPr="006464C4">
        <w:rPr>
          <w:rFonts w:ascii="Segoe UI Semibold" w:hAnsi="Segoe UI Semibold" w:cs="Segoe UI Semibold"/>
        </w:rPr>
        <w:t>Qualitätsindikator:</w:t>
      </w:r>
      <w:r w:rsidRPr="0027216C">
        <w:rPr>
          <w:b/>
          <w:bCs/>
        </w:rPr>
        <w:t xml:space="preserve"> </w:t>
      </w:r>
      <w:r w:rsidR="00505F8C" w:rsidRPr="0027216C">
        <w:t>nicht definiert</w:t>
      </w:r>
    </w:p>
    <w:p w14:paraId="5DBC41BE" w14:textId="3727F103" w:rsidR="007E3FAA" w:rsidRPr="0027216C" w:rsidRDefault="00A42038" w:rsidP="003752C4">
      <w:pPr>
        <w:pStyle w:val="berschrift2"/>
        <w:keepNext w:val="0"/>
        <w:pageBreakBefore/>
      </w:pPr>
      <w:bookmarkStart w:id="101" w:name="_Ref204169754"/>
      <w:bookmarkStart w:id="102" w:name="_Toc211342076"/>
      <w:r w:rsidRPr="0027216C">
        <w:lastRenderedPageBreak/>
        <w:t>Empfehlung 8: Vorgehen bei fehlender Heilungstendenz</w:t>
      </w:r>
      <w:bookmarkEnd w:id="101"/>
      <w:bookmarkEnd w:id="102"/>
      <w:r w:rsidRPr="0027216C">
        <w:t xml:space="preserve"> </w:t>
      </w:r>
    </w:p>
    <w:p w14:paraId="1A32FD0D" w14:textId="7DC9A96B" w:rsidR="007E3FAA" w:rsidRPr="006464C4" w:rsidRDefault="00A42038" w:rsidP="003752C4">
      <w:pPr>
        <w:shd w:val="clear" w:color="auto" w:fill="A0C0D4" w:themeFill="accent2" w:themeFillTint="99"/>
        <w:spacing w:before="0" w:line="240" w:lineRule="auto"/>
        <w:rPr>
          <w:rFonts w:ascii="Segoe UI Semibold" w:hAnsi="Segoe UI Semibold" w:cs="Segoe UI Semibold"/>
        </w:rPr>
      </w:pPr>
      <w:r w:rsidRPr="006464C4">
        <w:rPr>
          <w:rFonts w:ascii="Segoe UI Semibold" w:hAnsi="Segoe UI Semibold" w:cs="Segoe UI Semibold"/>
          <w:noProof/>
          <w:lang w:eastAsia="de-AT" w:bidi="ar-SA"/>
        </w:rPr>
        <w:drawing>
          <wp:anchor distT="0" distB="0" distL="114300" distR="114300" simplePos="0" relativeHeight="251784192" behindDoc="0" locked="0" layoutInCell="1" allowOverlap="1" wp14:anchorId="7373869A" wp14:editId="31FFB27D">
            <wp:simplePos x="0" y="0"/>
            <wp:positionH relativeFrom="margin">
              <wp:align>left</wp:align>
            </wp:positionH>
            <wp:positionV relativeFrom="paragraph">
              <wp:posOffset>17169</wp:posOffset>
            </wp:positionV>
            <wp:extent cx="561340" cy="508635"/>
            <wp:effectExtent l="0" t="0" r="0" b="5715"/>
            <wp:wrapSquare wrapText="bothSides"/>
            <wp:docPr id="1225234269" name="Grafik 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20230" name="Grafik 5" descr="Ein Bild, das Schwarz, Dunkelheit enthält.&#10;&#10;Automatisch generierte Beschreib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340" cy="508635"/>
                    </a:xfrm>
                    <a:prstGeom prst="rect">
                      <a:avLst/>
                    </a:prstGeom>
                    <a:noFill/>
                  </pic:spPr>
                </pic:pic>
              </a:graphicData>
            </a:graphic>
            <wp14:sizeRelH relativeFrom="margin">
              <wp14:pctWidth>0</wp14:pctWidth>
            </wp14:sizeRelH>
            <wp14:sizeRelV relativeFrom="margin">
              <wp14:pctHeight>0</wp14:pctHeight>
            </wp14:sizeRelV>
          </wp:anchor>
        </w:drawing>
      </w:r>
      <w:r w:rsidRPr="006464C4">
        <w:rPr>
          <w:rFonts w:ascii="Segoe UI Semibold" w:hAnsi="Segoe UI Semibold" w:cs="Segoe UI Semibold"/>
        </w:rPr>
        <w:t xml:space="preserve">Wenn bei einer chronischen Wunde </w:t>
      </w:r>
      <w:r w:rsidR="00077CAA" w:rsidRPr="006464C4">
        <w:rPr>
          <w:rFonts w:ascii="Segoe UI Semibold" w:hAnsi="Segoe UI Semibold" w:cs="Segoe UI Semibold"/>
        </w:rPr>
        <w:t xml:space="preserve">spätestens </w:t>
      </w:r>
      <w:r w:rsidRPr="006464C4">
        <w:rPr>
          <w:rFonts w:ascii="Segoe UI Semibold" w:hAnsi="Segoe UI Semibold" w:cs="Segoe UI Semibold"/>
        </w:rPr>
        <w:t xml:space="preserve">4 </w:t>
      </w:r>
      <w:r w:rsidR="008479A4">
        <w:rPr>
          <w:rFonts w:ascii="Segoe UI Semibold" w:hAnsi="Segoe UI Semibold" w:cs="Segoe UI Semibold"/>
        </w:rPr>
        <w:t>bis</w:t>
      </w:r>
      <w:r w:rsidRPr="006464C4">
        <w:rPr>
          <w:rFonts w:ascii="Segoe UI Semibold" w:hAnsi="Segoe UI Semibold" w:cs="Segoe UI Semibold"/>
        </w:rPr>
        <w:t xml:space="preserve"> 6 Wochen nach Beginn einer leitliniengerechten Behandlung keine bzw. keine ausreichende Heilungstendenz oder eine Verschlechterung der Wundsituation erkennbar ist, soll eine umfassende Neubeurteilung stattfinden. Hierzu soll eine Evaluation durch die nächsthöhere </w:t>
      </w:r>
      <w:r w:rsidR="00277DE9" w:rsidRPr="006464C4">
        <w:rPr>
          <w:rFonts w:ascii="Segoe UI Semibold" w:hAnsi="Segoe UI Semibold" w:cs="Segoe UI Semibold"/>
        </w:rPr>
        <w:t>Stufe</w:t>
      </w:r>
      <w:r w:rsidRPr="006464C4">
        <w:rPr>
          <w:rFonts w:ascii="Segoe UI Semibold" w:hAnsi="Segoe UI Semibold" w:cs="Segoe UI Semibold"/>
        </w:rPr>
        <w:t xml:space="preserve"> erfolgen und/oder eine Zweitmeinung </w:t>
      </w:r>
      <w:r w:rsidR="00AF66EE" w:rsidRPr="006464C4">
        <w:rPr>
          <w:rFonts w:ascii="Segoe UI Semibold" w:hAnsi="Segoe UI Semibold" w:cs="Segoe UI Semibold"/>
        </w:rPr>
        <w:t>von</w:t>
      </w:r>
      <w:r w:rsidRPr="006464C4">
        <w:rPr>
          <w:rFonts w:ascii="Segoe UI Semibold" w:hAnsi="Segoe UI Semibold" w:cs="Segoe UI Semibold"/>
        </w:rPr>
        <w:t xml:space="preserve"> qualifizierten GDA eingeholt werden.</w:t>
      </w:r>
    </w:p>
    <w:p w14:paraId="3122AC32" w14:textId="1255DEF4" w:rsidR="007E3FAA" w:rsidRPr="006464C4" w:rsidRDefault="00A42038">
      <w:pPr>
        <w:spacing w:before="360"/>
        <w:rPr>
          <w:rFonts w:ascii="Segoe UI Semibold" w:hAnsi="Segoe UI Semibold" w:cs="Segoe UI Semibold"/>
        </w:rPr>
      </w:pPr>
      <w:r w:rsidRPr="006464C4">
        <w:rPr>
          <w:rFonts w:ascii="Segoe UI Semibold" w:hAnsi="Segoe UI Semibold" w:cs="Segoe UI Semibold"/>
        </w:rPr>
        <w:t>Hintergrund / weiterführende Information</w:t>
      </w:r>
    </w:p>
    <w:p w14:paraId="1A34D727" w14:textId="45236DB9" w:rsidR="007E3FAA" w:rsidRPr="0027216C" w:rsidRDefault="00A42038">
      <w:r w:rsidRPr="0027216C">
        <w:t xml:space="preserve">Die </w:t>
      </w:r>
      <w:r w:rsidR="00277DE9" w:rsidRPr="0027216C">
        <w:t>Stufe</w:t>
      </w:r>
      <w:r w:rsidRPr="0027216C">
        <w:t xml:space="preserve">n inklusive der Aufgaben und Leistungen bezüglich der integrierten Versorgung von chronischen Wunden, </w:t>
      </w:r>
      <w:r w:rsidR="003C4173">
        <w:t xml:space="preserve">die </w:t>
      </w:r>
      <w:r w:rsidRPr="0027216C">
        <w:t xml:space="preserve">Qualifikationskriterien für GDA sowie der Ort der Leistungserbringung sind in </w:t>
      </w:r>
      <w:r w:rsidR="006464C4">
        <w:fldChar w:fldCharType="begin"/>
      </w:r>
      <w:r w:rsidR="006464C4">
        <w:instrText xml:space="preserve"> REF _Ref210222107 \h </w:instrText>
      </w:r>
      <w:r w:rsidR="006464C4">
        <w:fldChar w:fldCharType="separate"/>
      </w:r>
      <w:r w:rsidR="006464C4" w:rsidRPr="0027216C">
        <w:t>Empfehlung 4</w:t>
      </w:r>
      <w:r w:rsidR="006464C4">
        <w:fldChar w:fldCharType="end"/>
      </w:r>
      <w:r w:rsidRPr="0027216C">
        <w:t xml:space="preserve"> dargestellt. Je nach Wundsituation sollen Fachärztinnen</w:t>
      </w:r>
      <w:r w:rsidR="001C0C96">
        <w:t xml:space="preserve"> und -ärzte</w:t>
      </w:r>
      <w:r w:rsidRPr="0027216C">
        <w:t xml:space="preserve"> </w:t>
      </w:r>
      <w:r w:rsidR="00002775" w:rsidRPr="0027216C">
        <w:rPr>
          <w:rFonts w:cs="Lucida Sans Unicode"/>
        </w:rPr>
        <w:t>der jeweiligen Fachrichtung (bzw. für die Grunderkrankung) hinzugezogen werden, sowie nach Möglichkeit fachpflegerische Expertinnen</w:t>
      </w:r>
      <w:r w:rsidR="001C0C96">
        <w:rPr>
          <w:rFonts w:cs="Lucida Sans Unicode"/>
        </w:rPr>
        <w:t xml:space="preserve"> und Experten</w:t>
      </w:r>
      <w:r w:rsidR="00002775" w:rsidRPr="0027216C">
        <w:rPr>
          <w:rFonts w:cs="Lucida Sans Unicode"/>
        </w:rPr>
        <w:t>.</w:t>
      </w:r>
    </w:p>
    <w:p w14:paraId="444EC512" w14:textId="01DD36F9" w:rsidR="005E7FE7" w:rsidRPr="0027216C" w:rsidRDefault="00A42038">
      <w:pPr>
        <w:rPr>
          <w:strike/>
          <w:color w:val="EE0000"/>
        </w:rPr>
      </w:pPr>
      <w:r w:rsidRPr="0027216C">
        <w:t xml:space="preserve">Bei </w:t>
      </w:r>
      <w:r w:rsidR="001C0C96" w:rsidRPr="001C0C96">
        <w:t xml:space="preserve">Patientinnen und Patienten </w:t>
      </w:r>
      <w:r w:rsidRPr="0027216C">
        <w:t xml:space="preserve">mit Dekubitus ohne ausreichende Heilungstendenz soll bereits nach zwei Wochen eine umfassende Neubeurteilung in der nächsthöheren </w:t>
      </w:r>
      <w:r w:rsidR="00277DE9" w:rsidRPr="0027216C">
        <w:t>Stufe</w:t>
      </w:r>
      <w:r w:rsidRPr="0027216C">
        <w:t xml:space="preserve"> erfolgen bzw. eine Zweitmeinung von einer</w:t>
      </w:r>
      <w:r w:rsidR="003C4173">
        <w:t xml:space="preserve"> bzw. </w:t>
      </w:r>
      <w:r w:rsidRPr="0027216C">
        <w:t xml:space="preserve">einem qualifizierten GDA eingeholt werden (EPUAP 2019). </w:t>
      </w:r>
      <w:r w:rsidR="0054688E" w:rsidRPr="0027216C">
        <w:t>Bei Verschlechterung des Dekubitus ist eine sofortige Neubeurteilung notwendig.</w:t>
      </w:r>
    </w:p>
    <w:p w14:paraId="4ADA1DC7" w14:textId="0356E879" w:rsidR="005E7FE7" w:rsidRPr="0027216C" w:rsidRDefault="00A42038">
      <w:r w:rsidRPr="0027216C">
        <w:t>Therapieresistente und morphologisch ungewöhnliche Wunden sollen histologisch abgeklärt werden (AWMF 2023).</w:t>
      </w:r>
    </w:p>
    <w:p w14:paraId="33201E11" w14:textId="387CDC0F" w:rsidR="007E3FAA" w:rsidRPr="0027216C" w:rsidRDefault="00A42038">
      <w:r w:rsidRPr="0027216C">
        <w:t xml:space="preserve">Auf Basis der Neubeurteilung der Wundsituation soll der Behandlungsplan ggfs. angepasst und </w:t>
      </w:r>
      <w:r w:rsidR="003C4173">
        <w:t xml:space="preserve">sollen </w:t>
      </w:r>
      <w:r w:rsidRPr="0027216C">
        <w:t>die Intervalle für die weitere Evaluation (strukturierte Wundbeurteilung) festgelegt werden. (AWMF 2023</w:t>
      </w:r>
      <w:r w:rsidR="003C4173">
        <w:t>;</w:t>
      </w:r>
      <w:r w:rsidRPr="0027216C">
        <w:t xml:space="preserve"> EPUAP 2020)</w:t>
      </w:r>
    </w:p>
    <w:p w14:paraId="722E5035" w14:textId="3821156B" w:rsidR="007E3FAA" w:rsidRPr="006464C4" w:rsidRDefault="00A42038">
      <w:pPr>
        <w:rPr>
          <w:rFonts w:ascii="Segoe UI Semibold" w:hAnsi="Segoe UI Semibold" w:cs="Segoe UI Semibold"/>
        </w:rPr>
      </w:pPr>
      <w:r w:rsidRPr="006464C4">
        <w:rPr>
          <w:rFonts w:ascii="Segoe UI Semibold" w:hAnsi="Segoe UI Semibold" w:cs="Segoe UI Semibold"/>
        </w:rPr>
        <w:t>Evidenzbasis:</w:t>
      </w:r>
    </w:p>
    <w:p w14:paraId="75C7FFE1" w14:textId="77777777" w:rsidR="007E3FAA" w:rsidRPr="0027216C" w:rsidRDefault="00A42038">
      <w:pPr>
        <w:spacing w:before="0"/>
      </w:pPr>
      <w:r w:rsidRPr="0027216C">
        <w:t>Expertenkonsens in:</w:t>
      </w:r>
    </w:p>
    <w:p w14:paraId="14B05A0B" w14:textId="683F6AD5" w:rsidR="007E3FAA" w:rsidRPr="0027216C" w:rsidRDefault="00A42038" w:rsidP="006464C4">
      <w:pPr>
        <w:pStyle w:val="Liste1"/>
      </w:pPr>
      <w:r w:rsidRPr="0027216C">
        <w:t xml:space="preserve">AWMF </w:t>
      </w:r>
      <w:r w:rsidR="003C4173">
        <w:t>(</w:t>
      </w:r>
      <w:r w:rsidRPr="0027216C">
        <w:t>2023</w:t>
      </w:r>
      <w:r w:rsidR="003C4173">
        <w:t>)</w:t>
      </w:r>
      <w:r w:rsidRPr="0027216C">
        <w:t>: S3‐Leitlinie Lokaltherapie chronischer Wunden</w:t>
      </w:r>
    </w:p>
    <w:p w14:paraId="4C7B22D9" w14:textId="63F259B9" w:rsidR="007E3FAA" w:rsidRPr="0027216C" w:rsidRDefault="00A42038" w:rsidP="006464C4">
      <w:pPr>
        <w:pStyle w:val="Liste1"/>
      </w:pPr>
      <w:r w:rsidRPr="0027216C">
        <w:t xml:space="preserve">EPUAP </w:t>
      </w:r>
      <w:r w:rsidR="003C4173">
        <w:t>(</w:t>
      </w:r>
      <w:r w:rsidRPr="0027216C">
        <w:t>2020</w:t>
      </w:r>
      <w:r w:rsidR="003C4173">
        <w:t>)</w:t>
      </w:r>
      <w:r w:rsidRPr="0027216C">
        <w:t>: Prävention und Behandlung von Dekubitus</w:t>
      </w:r>
    </w:p>
    <w:p w14:paraId="2AF4CA48" w14:textId="77777777" w:rsidR="007E3FAA" w:rsidRPr="0027216C" w:rsidRDefault="00A42038" w:rsidP="006464C4">
      <w:pPr>
        <w:pStyle w:val="Liste1"/>
      </w:pPr>
      <w:r w:rsidRPr="0027216C">
        <w:t>Konsensempfehlung der Zielsteuerungsgremien</w:t>
      </w:r>
    </w:p>
    <w:p w14:paraId="0C00F1C5" w14:textId="77777777" w:rsidR="007E3FAA" w:rsidRPr="0027216C" w:rsidRDefault="00A42038">
      <w:pPr>
        <w:rPr>
          <w:bCs/>
        </w:rPr>
      </w:pPr>
      <w:r w:rsidRPr="006464C4">
        <w:rPr>
          <w:rFonts w:ascii="Segoe UI Semibold" w:hAnsi="Segoe UI Semibold" w:cs="Segoe UI Semibold"/>
        </w:rPr>
        <w:t>Evidenzstärke:</w:t>
      </w:r>
      <w:r w:rsidRPr="0027216C">
        <w:t xml:space="preserve"> </w:t>
      </w:r>
      <w:r w:rsidRPr="0027216C">
        <w:rPr>
          <w:bCs/>
        </w:rPr>
        <w:t>niedrig</w:t>
      </w:r>
    </w:p>
    <w:p w14:paraId="1B47BC3B" w14:textId="77777777" w:rsidR="007E3FAA" w:rsidRPr="0027216C" w:rsidRDefault="00A42038">
      <w:r w:rsidRPr="006464C4">
        <w:rPr>
          <w:rFonts w:ascii="Segoe UI Semibold" w:hAnsi="Segoe UI Semibold" w:cs="Segoe UI Semibold"/>
        </w:rPr>
        <w:t>Empfehlungsgrad: A</w:t>
      </w:r>
      <w:r w:rsidRPr="0027216C">
        <w:t xml:space="preserve"> </w:t>
      </w:r>
      <w:r w:rsidRPr="0027216C">
        <w:rPr>
          <w:bCs/>
        </w:rPr>
        <w:t>(</w:t>
      </w:r>
      <w:r w:rsidRPr="0027216C">
        <w:t>starke Empfehlung)</w:t>
      </w:r>
    </w:p>
    <w:p w14:paraId="312D3557" w14:textId="1355C1C8" w:rsidR="007E3FAA" w:rsidRPr="0027216C" w:rsidRDefault="00A42038" w:rsidP="003752C4">
      <w:r w:rsidRPr="006464C4">
        <w:rPr>
          <w:rFonts w:ascii="Segoe UI Semibold" w:hAnsi="Segoe UI Semibold" w:cs="Segoe UI Semibold"/>
        </w:rPr>
        <w:t>Qualitätsindikator:</w:t>
      </w:r>
      <w:r w:rsidRPr="0027216C">
        <w:rPr>
          <w:b/>
          <w:bCs/>
        </w:rPr>
        <w:t xml:space="preserve"> </w:t>
      </w:r>
      <w:r w:rsidR="00505F8C" w:rsidRPr="0027216C">
        <w:t>nicht definiert</w:t>
      </w:r>
      <w:r w:rsidRPr="0027216C">
        <w:br w:type="page"/>
      </w:r>
    </w:p>
    <w:p w14:paraId="2E642473" w14:textId="5BF7C78F" w:rsidR="007E3FAA" w:rsidRPr="0027216C" w:rsidRDefault="00A42038">
      <w:pPr>
        <w:pStyle w:val="berschrift2"/>
      </w:pPr>
      <w:bookmarkStart w:id="103" w:name="_Ref210220372"/>
      <w:bookmarkStart w:id="104" w:name="_Ref210220377"/>
      <w:bookmarkStart w:id="105" w:name="_Ref210220382"/>
      <w:bookmarkStart w:id="106" w:name="_Toc211342077"/>
      <w:r w:rsidRPr="0027216C">
        <w:lastRenderedPageBreak/>
        <w:t xml:space="preserve">Empfehlung 9: </w:t>
      </w:r>
      <w:bookmarkStart w:id="107" w:name="_Hlk179113741"/>
      <w:r w:rsidRPr="0027216C">
        <w:t xml:space="preserve">Patienteninformation, -schulung und </w:t>
      </w:r>
      <w:r w:rsidR="002C383E">
        <w:br/>
      </w:r>
      <w:r w:rsidRPr="0027216C">
        <w:t>-beratung</w:t>
      </w:r>
      <w:bookmarkEnd w:id="103"/>
      <w:bookmarkEnd w:id="104"/>
      <w:bookmarkEnd w:id="105"/>
      <w:bookmarkEnd w:id="107"/>
      <w:bookmarkEnd w:id="106"/>
    </w:p>
    <w:p w14:paraId="52D70979" w14:textId="763FACFC" w:rsidR="007E3FAA" w:rsidRPr="006464C4" w:rsidRDefault="00A42038" w:rsidP="003752C4">
      <w:pPr>
        <w:shd w:val="clear" w:color="auto" w:fill="A0C0D4" w:themeFill="accent2" w:themeFillTint="99"/>
        <w:spacing w:before="0" w:line="240" w:lineRule="auto"/>
        <w:rPr>
          <w:rFonts w:ascii="Segoe UI Semibold" w:hAnsi="Segoe UI Semibold" w:cs="Segoe UI Semibold"/>
        </w:rPr>
      </w:pPr>
      <w:r w:rsidRPr="006464C4">
        <w:rPr>
          <w:rFonts w:ascii="Segoe UI Semibold" w:hAnsi="Segoe UI Semibold" w:cs="Segoe UI Semibold"/>
          <w:noProof/>
          <w:lang w:eastAsia="de-AT" w:bidi="ar-SA"/>
        </w:rPr>
        <w:drawing>
          <wp:anchor distT="0" distB="0" distL="114300" distR="114300" simplePos="0" relativeHeight="251786240" behindDoc="0" locked="0" layoutInCell="1" allowOverlap="1" wp14:anchorId="396F38A8" wp14:editId="7ADD574D">
            <wp:simplePos x="0" y="0"/>
            <wp:positionH relativeFrom="margin">
              <wp:align>left</wp:align>
            </wp:positionH>
            <wp:positionV relativeFrom="paragraph">
              <wp:posOffset>28744</wp:posOffset>
            </wp:positionV>
            <wp:extent cx="669851" cy="578734"/>
            <wp:effectExtent l="0" t="0" r="0" b="0"/>
            <wp:wrapSquare wrapText="bothSides"/>
            <wp:docPr id="1325308257"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5453" name="Grafik 1" descr="Ein Bild, das Schwarz, Dunkelheit enthält.&#10;&#10;Automatisch generierte Beschreibung"/>
                    <pic:cNvPicPr/>
                  </pic:nvPicPr>
                  <pic:blipFill rotWithShape="1">
                    <a:blip r:embed="rId21" cstate="print">
                      <a:extLst>
                        <a:ext uri="{28A0092B-C50C-407E-A947-70E740481C1C}">
                          <a14:useLocalDpi xmlns:a14="http://schemas.microsoft.com/office/drawing/2010/main" val="0"/>
                        </a:ext>
                      </a:extLst>
                    </a:blip>
                    <a:srcRect b="13602"/>
                    <a:stretch/>
                  </pic:blipFill>
                  <pic:spPr bwMode="auto">
                    <a:xfrm>
                      <a:off x="0" y="0"/>
                      <a:ext cx="669851" cy="578734"/>
                    </a:xfrm>
                    <a:prstGeom prst="rect">
                      <a:avLst/>
                    </a:prstGeom>
                    <a:ln>
                      <a:noFill/>
                    </a:ln>
                    <a:extLst>
                      <a:ext uri="{53640926-AAD7-44D8-BBD7-CCE9431645EC}">
                        <a14:shadowObscured xmlns:a14="http://schemas.microsoft.com/office/drawing/2010/main"/>
                      </a:ext>
                    </a:extLst>
                  </pic:spPr>
                </pic:pic>
              </a:graphicData>
            </a:graphic>
          </wp:anchor>
        </w:drawing>
      </w:r>
      <w:r w:rsidR="00611895" w:rsidRPr="006464C4">
        <w:rPr>
          <w:rFonts w:ascii="Segoe UI Semibold" w:hAnsi="Segoe UI Semibold" w:cs="Segoe UI Semibold"/>
        </w:rPr>
        <w:t xml:space="preserve">Patientinnen und Patienten </w:t>
      </w:r>
      <w:r w:rsidRPr="006464C4">
        <w:rPr>
          <w:rFonts w:ascii="Segoe UI Semibold" w:hAnsi="Segoe UI Semibold" w:cs="Segoe UI Semibold"/>
        </w:rPr>
        <w:t>sollen eine auf ihre Bedürfnisse angepasste Beratung, Schulung und Information zur Krankheitsursache und -behandlung und Versorgungsangeboten erhalten. Dies schließt die Förderung zum Erhalt von Alltagskompetenzen im Kontext der Wundbehandlung und die Stärkung der individuellen Gesundheitskompetenz mit ein.</w:t>
      </w:r>
    </w:p>
    <w:p w14:paraId="1E933B8E" w14:textId="4D52C961" w:rsidR="007E3FAA" w:rsidRPr="000868DC" w:rsidRDefault="00A42038">
      <w:pPr>
        <w:spacing w:before="360"/>
        <w:rPr>
          <w:rFonts w:ascii="Segoe UI Semibold" w:hAnsi="Segoe UI Semibold" w:cs="Segoe UI Semibold"/>
        </w:rPr>
      </w:pPr>
      <w:r w:rsidRPr="006464C4">
        <w:rPr>
          <w:rFonts w:ascii="Segoe UI Semibold" w:hAnsi="Segoe UI Semibold" w:cs="Segoe UI Semibold"/>
        </w:rPr>
        <w:t>Hintergrund / weiterführende Information</w:t>
      </w:r>
    </w:p>
    <w:p w14:paraId="11606CD6" w14:textId="253FBE18" w:rsidR="007E3FAA" w:rsidRPr="0027216C" w:rsidRDefault="00A42038">
      <w:pPr>
        <w:spacing w:before="120"/>
      </w:pPr>
      <w:r w:rsidRPr="0027216C">
        <w:t xml:space="preserve">Geeignete Patienteninformation und eine partizipative Entscheidungsfindung sind Voraussetzung für eine gute Therapieadhärenz (AWMF 2023). </w:t>
      </w:r>
      <w:r w:rsidR="001C0C96" w:rsidRPr="001C0C96">
        <w:t xml:space="preserve">Patientinnen und Patienten </w:t>
      </w:r>
      <w:r w:rsidRPr="0027216C">
        <w:t xml:space="preserve">sollen jedenfalls über die Wundursache, die Wundheilung beeinflussende Faktoren, den Behandlungsplan und den Behandlungsprozess informiert werden (AWMF 2023). Diese Informationen sollen zielgerichtet und individuell für die </w:t>
      </w:r>
      <w:r w:rsidR="001C0C96" w:rsidRPr="001C0C96">
        <w:t xml:space="preserve">Patientinnen und Patienten </w:t>
      </w:r>
      <w:r w:rsidRPr="0027216C">
        <w:t>sowie ggfs. für betreuende Personen</w:t>
      </w:r>
      <w:r w:rsidR="00653C3A" w:rsidRPr="0027216C">
        <w:t xml:space="preserve">, </w:t>
      </w:r>
      <w:r w:rsidR="00A96572" w:rsidRPr="0027216C">
        <w:t>An- und Zugehörige</w:t>
      </w:r>
      <w:r w:rsidRPr="0027216C">
        <w:t xml:space="preserve"> </w:t>
      </w:r>
      <w:r w:rsidR="00653C3A" w:rsidRPr="0027216C">
        <w:t xml:space="preserve">sowie gesetzliche </w:t>
      </w:r>
      <w:proofErr w:type="spellStart"/>
      <w:proofErr w:type="gramStart"/>
      <w:r w:rsidR="00653C3A" w:rsidRPr="0027216C">
        <w:t>Vertreter:innen</w:t>
      </w:r>
      <w:proofErr w:type="spellEnd"/>
      <w:proofErr w:type="gramEnd"/>
      <w:r w:rsidR="00653C3A" w:rsidRPr="0027216C">
        <w:t xml:space="preserve"> </w:t>
      </w:r>
      <w:r w:rsidRPr="0027216C">
        <w:t>angepasst sein (</w:t>
      </w:r>
      <w:proofErr w:type="spellStart"/>
      <w:r w:rsidRPr="0027216C">
        <w:t>Gethin</w:t>
      </w:r>
      <w:proofErr w:type="spellEnd"/>
      <w:r w:rsidRPr="0027216C">
        <w:t xml:space="preserve"> 2020</w:t>
      </w:r>
      <w:r w:rsidR="00362CF2">
        <w:t>;</w:t>
      </w:r>
      <w:r w:rsidRPr="0027216C">
        <w:t xml:space="preserve"> HSE 2018) und den Betroffenen damit die Möglichkeit geben, sich aktiv in den Behandlungsprozess einzubringen.</w:t>
      </w:r>
    </w:p>
    <w:p w14:paraId="3B3C14B3" w14:textId="107DA92E" w:rsidR="007E3FAA" w:rsidRPr="0027216C" w:rsidRDefault="00A42038">
      <w:r w:rsidRPr="0027216C">
        <w:t>Patienteninformation</w:t>
      </w:r>
      <w:r w:rsidR="00CB1015" w:rsidRPr="0027216C">
        <w:t>en</w:t>
      </w:r>
      <w:r w:rsidRPr="0027216C">
        <w:t xml:space="preserve"> sollen sit</w:t>
      </w:r>
      <w:r w:rsidR="00D137AB" w:rsidRPr="0027216C">
        <w:t>uations</w:t>
      </w:r>
      <w:r w:rsidRPr="0027216C">
        <w:t xml:space="preserve">adäquat in sämtlichen </w:t>
      </w:r>
      <w:r w:rsidR="00277DE9" w:rsidRPr="0027216C">
        <w:t>Stufe</w:t>
      </w:r>
      <w:r w:rsidRPr="0027216C">
        <w:t xml:space="preserve">n (siehe </w:t>
      </w:r>
      <w:r w:rsidR="000868DC">
        <w:fldChar w:fldCharType="begin"/>
      </w:r>
      <w:r w:rsidR="000868DC">
        <w:instrText xml:space="preserve"> REF _Ref210222817 \h </w:instrText>
      </w:r>
      <w:r w:rsidR="000868DC">
        <w:fldChar w:fldCharType="separate"/>
      </w:r>
      <w:r w:rsidR="000868DC" w:rsidRPr="0027216C">
        <w:t>Empfehlung 4</w:t>
      </w:r>
      <w:r w:rsidR="000868DC">
        <w:fldChar w:fldCharType="end"/>
      </w:r>
      <w:r w:rsidRPr="0027216C">
        <w:t>) gegeben werden (</w:t>
      </w:r>
      <w:proofErr w:type="spellStart"/>
      <w:r w:rsidRPr="0027216C">
        <w:t>Gethin</w:t>
      </w:r>
      <w:proofErr w:type="spellEnd"/>
      <w:r w:rsidRPr="0027216C">
        <w:t xml:space="preserve"> 2020).</w:t>
      </w:r>
    </w:p>
    <w:p w14:paraId="2523656B" w14:textId="4BAF91BD" w:rsidR="007E3FAA" w:rsidRPr="000868DC" w:rsidRDefault="00A42038">
      <w:pPr>
        <w:rPr>
          <w:rFonts w:ascii="Segoe UI Semibold" w:hAnsi="Segoe UI Semibold" w:cs="Segoe UI Semibold"/>
        </w:rPr>
      </w:pPr>
      <w:r w:rsidRPr="000868DC">
        <w:rPr>
          <w:rFonts w:ascii="Segoe UI Semibold" w:hAnsi="Segoe UI Semibold" w:cs="Segoe UI Semibold"/>
        </w:rPr>
        <w:t>Evidenzbasis:</w:t>
      </w:r>
    </w:p>
    <w:p w14:paraId="59F67669" w14:textId="77777777" w:rsidR="007E3FAA" w:rsidRPr="0027216C" w:rsidRDefault="00A42038">
      <w:pPr>
        <w:spacing w:before="0"/>
      </w:pPr>
      <w:r w:rsidRPr="0027216C">
        <w:t>Beobachtungsstudien in:</w:t>
      </w:r>
    </w:p>
    <w:p w14:paraId="5F29915B" w14:textId="2976E2DE" w:rsidR="007E3FAA" w:rsidRPr="0027216C" w:rsidRDefault="00A42038" w:rsidP="000868DC">
      <w:pPr>
        <w:pStyle w:val="Liste1"/>
      </w:pPr>
      <w:r w:rsidRPr="0027216C">
        <w:t xml:space="preserve">AWMF </w:t>
      </w:r>
      <w:r w:rsidR="0001786E">
        <w:t>(</w:t>
      </w:r>
      <w:r w:rsidRPr="0027216C">
        <w:t>2023</w:t>
      </w:r>
      <w:r w:rsidR="0001786E">
        <w:t>)</w:t>
      </w:r>
      <w:r w:rsidRPr="0027216C">
        <w:t>: S3‐Leitlinie Lokaltherapie chronischer Wunden</w:t>
      </w:r>
    </w:p>
    <w:p w14:paraId="58BA2986" w14:textId="50EA2501" w:rsidR="007E3FAA" w:rsidRPr="0027216C" w:rsidRDefault="00A42038" w:rsidP="000868DC">
      <w:pPr>
        <w:pStyle w:val="Liste1"/>
      </w:pPr>
      <w:r w:rsidRPr="0027216C">
        <w:t xml:space="preserve">EPUAP </w:t>
      </w:r>
      <w:r w:rsidR="0001786E">
        <w:t>(</w:t>
      </w:r>
      <w:r w:rsidRPr="0027216C">
        <w:t>2020</w:t>
      </w:r>
      <w:r w:rsidR="0001786E">
        <w:t>)</w:t>
      </w:r>
      <w:r w:rsidRPr="0027216C">
        <w:t>: Prävention und Behandlung von Dekubitus</w:t>
      </w:r>
    </w:p>
    <w:p w14:paraId="78D7CEDF" w14:textId="77777777" w:rsidR="007E3FAA" w:rsidRPr="0027216C" w:rsidRDefault="00A42038" w:rsidP="000868DC">
      <w:pPr>
        <w:pStyle w:val="Liste1"/>
      </w:pPr>
      <w:r w:rsidRPr="0027216C">
        <w:t>Konsensempfehlung der Zielsteuerungsgremien</w:t>
      </w:r>
    </w:p>
    <w:p w14:paraId="0A282F03" w14:textId="419A86B5" w:rsidR="007E3FAA" w:rsidRPr="0027216C" w:rsidRDefault="00A42038">
      <w:pPr>
        <w:rPr>
          <w:bCs/>
        </w:rPr>
      </w:pPr>
      <w:r w:rsidRPr="000868DC">
        <w:rPr>
          <w:rFonts w:ascii="Segoe UI Semibold" w:hAnsi="Segoe UI Semibold" w:cs="Segoe UI Semibold"/>
        </w:rPr>
        <w:t>Evidenzstärke:</w:t>
      </w:r>
      <w:r w:rsidRPr="0027216C">
        <w:t xml:space="preserve"> </w:t>
      </w:r>
      <w:r w:rsidRPr="0027216C">
        <w:rPr>
          <w:bCs/>
        </w:rPr>
        <w:t>mittel</w:t>
      </w:r>
    </w:p>
    <w:p w14:paraId="42A02C14" w14:textId="77777777" w:rsidR="007E3FAA" w:rsidRPr="0027216C" w:rsidRDefault="00A42038">
      <w:r w:rsidRPr="000868DC">
        <w:rPr>
          <w:rFonts w:ascii="Segoe UI Semibold" w:hAnsi="Segoe UI Semibold" w:cs="Segoe UI Semibold"/>
        </w:rPr>
        <w:t>Empfehlungsgrad: A</w:t>
      </w:r>
      <w:r w:rsidRPr="0027216C">
        <w:t xml:space="preserve"> </w:t>
      </w:r>
      <w:r w:rsidRPr="0027216C">
        <w:rPr>
          <w:bCs/>
        </w:rPr>
        <w:t>(</w:t>
      </w:r>
      <w:r w:rsidRPr="0027216C">
        <w:t>starke Empfehlung)</w:t>
      </w:r>
    </w:p>
    <w:p w14:paraId="2ECE5867" w14:textId="602EA472" w:rsidR="007E3FAA" w:rsidRPr="0027216C" w:rsidRDefault="00A42038" w:rsidP="003752C4">
      <w:r w:rsidRPr="000868DC">
        <w:rPr>
          <w:rFonts w:ascii="Segoe UI Semibold" w:hAnsi="Segoe UI Semibold" w:cs="Segoe UI Semibold"/>
        </w:rPr>
        <w:t xml:space="preserve">Qualitätsindikator: </w:t>
      </w:r>
      <w:r w:rsidR="00505F8C" w:rsidRPr="0027216C">
        <w:t>nicht definiert</w:t>
      </w:r>
      <w:r w:rsidRPr="0027216C">
        <w:br w:type="page"/>
      </w:r>
    </w:p>
    <w:p w14:paraId="3D223EEF" w14:textId="078585A1" w:rsidR="007E3FAA" w:rsidRPr="0027216C" w:rsidRDefault="00A42038">
      <w:pPr>
        <w:pStyle w:val="berschrift2"/>
      </w:pPr>
      <w:bookmarkStart w:id="108" w:name="_Toc211342078"/>
      <w:r w:rsidRPr="0027216C">
        <w:lastRenderedPageBreak/>
        <w:t>Empfehlung 10: Hilfsmittel/Heilbehelfe/Kompression</w:t>
      </w:r>
      <w:bookmarkEnd w:id="108"/>
      <w:r w:rsidRPr="0027216C">
        <w:t xml:space="preserve"> </w:t>
      </w:r>
    </w:p>
    <w:p w14:paraId="65D536A8" w14:textId="78678952" w:rsidR="007E3FAA" w:rsidRPr="000868DC" w:rsidRDefault="00A42038" w:rsidP="003752C4">
      <w:pPr>
        <w:shd w:val="clear" w:color="auto" w:fill="A0C0D4" w:themeFill="accent2" w:themeFillTint="99"/>
        <w:spacing w:before="0" w:line="240" w:lineRule="auto"/>
        <w:rPr>
          <w:rFonts w:ascii="Segoe UI Semibold" w:hAnsi="Segoe UI Semibold" w:cs="Segoe UI Semibold"/>
        </w:rPr>
      </w:pPr>
      <w:r w:rsidRPr="000868DC">
        <w:rPr>
          <w:rFonts w:ascii="Segoe UI Semibold" w:hAnsi="Segoe UI Semibold" w:cs="Segoe UI Semibold"/>
          <w:noProof/>
          <w:lang w:eastAsia="de-AT" w:bidi="ar-SA"/>
        </w:rPr>
        <w:drawing>
          <wp:anchor distT="0" distB="0" distL="114300" distR="114300" simplePos="0" relativeHeight="251788288" behindDoc="0" locked="0" layoutInCell="1" allowOverlap="1" wp14:anchorId="186B0FC0" wp14:editId="13FDEF5B">
            <wp:simplePos x="0" y="0"/>
            <wp:positionH relativeFrom="margin">
              <wp:align>left</wp:align>
            </wp:positionH>
            <wp:positionV relativeFrom="paragraph">
              <wp:posOffset>80645</wp:posOffset>
            </wp:positionV>
            <wp:extent cx="521335" cy="444500"/>
            <wp:effectExtent l="0" t="0" r="0" b="0"/>
            <wp:wrapSquare wrapText="bothSides"/>
            <wp:docPr id="21232836"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89754" name="Grafik 1" descr="Ein Bild, das Schwarz, Dunkelheit enthält.&#10;&#10;Automatisch generierte Beschreibung"/>
                    <pic:cNvPicPr/>
                  </pic:nvPicPr>
                  <pic:blipFill rotWithShape="1">
                    <a:blip r:embed="rId22" cstate="print">
                      <a:extLst>
                        <a:ext uri="{28A0092B-C50C-407E-A947-70E740481C1C}">
                          <a14:useLocalDpi xmlns:a14="http://schemas.microsoft.com/office/drawing/2010/main" val="0"/>
                        </a:ext>
                      </a:extLst>
                    </a:blip>
                    <a:srcRect b="14808"/>
                    <a:stretch/>
                  </pic:blipFill>
                  <pic:spPr bwMode="auto">
                    <a:xfrm rot="16200000">
                      <a:off x="0" y="0"/>
                      <a:ext cx="521335" cy="44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68DC">
        <w:rPr>
          <w:rFonts w:ascii="Segoe UI Semibold" w:hAnsi="Segoe UI Semibold" w:cs="Segoe UI Semibold"/>
        </w:rPr>
        <w:t xml:space="preserve">Der </w:t>
      </w:r>
      <w:r w:rsidR="00180B26" w:rsidRPr="000868DC">
        <w:rPr>
          <w:rFonts w:ascii="Segoe UI Semibold" w:hAnsi="Segoe UI Semibold" w:cs="Segoe UI Semibold"/>
        </w:rPr>
        <w:t>Einsatz von geeigneten Hilfsmitteln (z</w:t>
      </w:r>
      <w:r w:rsidR="00504B51" w:rsidRPr="000868DC">
        <w:rPr>
          <w:rFonts w:ascii="Segoe UI Semibold" w:hAnsi="Segoe UI Semibold" w:cs="Segoe UI Semibold"/>
        </w:rPr>
        <w:t>.</w:t>
      </w:r>
      <w:r w:rsidR="00504B51">
        <w:rPr>
          <w:rFonts w:ascii="Segoe UI Semibold" w:hAnsi="Segoe UI Semibold" w:cs="Segoe UI Semibold"/>
        </w:rPr>
        <w:t> </w:t>
      </w:r>
      <w:r w:rsidR="00180B26" w:rsidRPr="000868DC">
        <w:rPr>
          <w:rFonts w:ascii="Segoe UI Semibold" w:hAnsi="Segoe UI Semibold" w:cs="Segoe UI Semibold"/>
        </w:rPr>
        <w:t xml:space="preserve">B. </w:t>
      </w:r>
      <w:r w:rsidR="00711A10">
        <w:rPr>
          <w:rFonts w:ascii="Segoe UI Semibold" w:hAnsi="Segoe UI Semibold" w:cs="Segoe UI Semibold"/>
        </w:rPr>
        <w:t xml:space="preserve">von </w:t>
      </w:r>
      <w:r w:rsidR="00180B26" w:rsidRPr="000868DC">
        <w:rPr>
          <w:rFonts w:ascii="Segoe UI Semibold" w:hAnsi="Segoe UI Semibold" w:cs="Segoe UI Semibold"/>
        </w:rPr>
        <w:t>Orthesen, An- und Ausziehhilfen bei medizinische</w:t>
      </w:r>
      <w:r w:rsidR="00504B51">
        <w:rPr>
          <w:rFonts w:ascii="Segoe UI Semibold" w:hAnsi="Segoe UI Semibold" w:cs="Segoe UI Semibold"/>
        </w:rPr>
        <w:t>n</w:t>
      </w:r>
      <w:r w:rsidR="00180B26" w:rsidRPr="000868DC">
        <w:rPr>
          <w:rFonts w:ascii="Segoe UI Semibold" w:hAnsi="Segoe UI Semibold" w:cs="Segoe UI Semibold"/>
        </w:rPr>
        <w:t xml:space="preserve"> Kompressionssystemen, druckentlastende</w:t>
      </w:r>
      <w:r w:rsidR="00711A10">
        <w:rPr>
          <w:rFonts w:ascii="Segoe UI Semibold" w:hAnsi="Segoe UI Semibold" w:cs="Segoe UI Semibold"/>
        </w:rPr>
        <w:t>n</w:t>
      </w:r>
      <w:r w:rsidR="00180B26" w:rsidRPr="000868DC">
        <w:rPr>
          <w:rFonts w:ascii="Segoe UI Semibold" w:hAnsi="Segoe UI Semibold" w:cs="Segoe UI Semibold"/>
        </w:rPr>
        <w:t xml:space="preserve"> und -verteilende</w:t>
      </w:r>
      <w:r w:rsidR="00711A10">
        <w:rPr>
          <w:rFonts w:ascii="Segoe UI Semibold" w:hAnsi="Segoe UI Semibold" w:cs="Segoe UI Semibold"/>
        </w:rPr>
        <w:t>n</w:t>
      </w:r>
      <w:r w:rsidR="00180B26" w:rsidRPr="000868DC">
        <w:rPr>
          <w:rFonts w:ascii="Segoe UI Semibold" w:hAnsi="Segoe UI Semibold" w:cs="Segoe UI Semibold"/>
        </w:rPr>
        <w:t xml:space="preserve"> Unterlagen), </w:t>
      </w:r>
      <w:r w:rsidR="00711A10">
        <w:rPr>
          <w:rFonts w:ascii="Segoe UI Semibold" w:hAnsi="Segoe UI Semibold" w:cs="Segoe UI Semibold"/>
        </w:rPr>
        <w:t>die</w:t>
      </w:r>
      <w:r w:rsidR="00711A10" w:rsidRPr="000868DC">
        <w:rPr>
          <w:rFonts w:ascii="Segoe UI Semibold" w:hAnsi="Segoe UI Semibold" w:cs="Segoe UI Semibold"/>
        </w:rPr>
        <w:t xml:space="preserve"> </w:t>
      </w:r>
      <w:r w:rsidR="00180B26" w:rsidRPr="000868DC">
        <w:rPr>
          <w:rFonts w:ascii="Segoe UI Semibold" w:hAnsi="Segoe UI Semibold" w:cs="Segoe UI Semibold"/>
        </w:rPr>
        <w:t>dem Bedarf der Patientin bzw. des Patienten entsprechen, soll in allen Versorgungsstufen und -situationen (z</w:t>
      </w:r>
      <w:r w:rsidR="00504B51" w:rsidRPr="000868DC">
        <w:rPr>
          <w:rFonts w:ascii="Segoe UI Semibold" w:hAnsi="Segoe UI Semibold" w:cs="Segoe UI Semibold"/>
        </w:rPr>
        <w:t>.</w:t>
      </w:r>
      <w:r w:rsidR="00504B51">
        <w:rPr>
          <w:rFonts w:ascii="Segoe UI Semibold" w:hAnsi="Segoe UI Semibold" w:cs="Segoe UI Semibold"/>
        </w:rPr>
        <w:t> </w:t>
      </w:r>
      <w:r w:rsidR="00180B26" w:rsidRPr="000868DC">
        <w:rPr>
          <w:rFonts w:ascii="Segoe UI Semibold" w:hAnsi="Segoe UI Semibold" w:cs="Segoe UI Semibold"/>
        </w:rPr>
        <w:t xml:space="preserve">B. Transport, Operationen) gewährleistet sein. Transport- und Wartezeiten sind so kurz wie möglich zu </w:t>
      </w:r>
      <w:r w:rsidR="009B600A" w:rsidRPr="000868DC">
        <w:rPr>
          <w:rFonts w:ascii="Segoe UI Semibold" w:hAnsi="Segoe UI Semibold" w:cs="Segoe UI Semibold"/>
        </w:rPr>
        <w:t>halten.</w:t>
      </w:r>
    </w:p>
    <w:p w14:paraId="3F9EB115" w14:textId="5740CDD1" w:rsidR="007E3FAA" w:rsidRPr="000868DC" w:rsidRDefault="00A42038">
      <w:pPr>
        <w:spacing w:before="360"/>
        <w:rPr>
          <w:rFonts w:ascii="Segoe UI Semibold" w:hAnsi="Segoe UI Semibold" w:cs="Segoe UI Semibold"/>
        </w:rPr>
      </w:pPr>
      <w:r w:rsidRPr="000868DC">
        <w:rPr>
          <w:rFonts w:ascii="Segoe UI Semibold" w:hAnsi="Segoe UI Semibold" w:cs="Segoe UI Semibold"/>
        </w:rPr>
        <w:t>Hintergrund / weiterführende Information</w:t>
      </w:r>
    </w:p>
    <w:p w14:paraId="45FC5B9A" w14:textId="370BFBD0" w:rsidR="007E3FAA" w:rsidRPr="0027216C" w:rsidRDefault="00A42038">
      <w:pPr>
        <w:spacing w:before="120"/>
      </w:pPr>
      <w:r w:rsidRPr="0027216C">
        <w:t xml:space="preserve">Der Einsatz von geeigneten Hilfsmitteln kann </w:t>
      </w:r>
      <w:r w:rsidR="00AE4DA1" w:rsidRPr="0027216C">
        <w:t xml:space="preserve">sowohl für die Prophylaxe als auch </w:t>
      </w:r>
      <w:r w:rsidRPr="0027216C">
        <w:t>für den Therapieerfolg bei chronischen Wunden essenziell sein beziehungsweise wesentlich zum Therapieerfolg beitragen. Ander</w:t>
      </w:r>
      <w:r w:rsidR="005D3120">
        <w:t>er</w:t>
      </w:r>
      <w:r w:rsidRPr="0027216C">
        <w:t xml:space="preserve">seits können </w:t>
      </w:r>
      <w:proofErr w:type="gramStart"/>
      <w:r w:rsidRPr="0027216C">
        <w:t>bereits vergleichsweise</w:t>
      </w:r>
      <w:proofErr w:type="gramEnd"/>
      <w:r w:rsidRPr="0027216C">
        <w:t xml:space="preserve"> kurze Phasen, in denen indizierte Hilfsmittel und Heilbehelfe (z. B. </w:t>
      </w:r>
      <w:r w:rsidR="00A75C4A" w:rsidRPr="0027216C">
        <w:t xml:space="preserve">druckentlastende und </w:t>
      </w:r>
      <w:r w:rsidR="00AD3213" w:rsidRPr="0027216C">
        <w:t>-</w:t>
      </w:r>
      <w:r w:rsidRPr="0027216C">
        <w:t>verteilende Unterlagen bei Dekubitus, Kompressionssysteme) nicht eingesetzt werden, die Wundsituation kritisch verschlechtern (EPUAP 2020</w:t>
      </w:r>
      <w:r w:rsidR="005101FB">
        <w:t>;</w:t>
      </w:r>
      <w:r w:rsidRPr="0027216C">
        <w:t xml:space="preserve"> IWGDF 2023). Vor diesem Hintergrund ist sicherzustellen, dass geeignete Hilfsmittel im häuslichen, ambulanten und stationären Versorgungssetting verfügbar sind und adäquat eingesetzt werden. Dies ist auch bei einer (akuten) Veränderung der Versorgungssituation (z</w:t>
      </w:r>
      <w:r w:rsidR="009403A8" w:rsidRPr="0027216C">
        <w:t>.</w:t>
      </w:r>
      <w:r w:rsidR="009403A8">
        <w:t> </w:t>
      </w:r>
      <w:r w:rsidRPr="0027216C">
        <w:t xml:space="preserve">B. </w:t>
      </w:r>
      <w:r w:rsidR="002B02E1">
        <w:rPr>
          <w:rFonts w:cs="Segoe UI"/>
        </w:rPr>
        <w:t>[</w:t>
      </w:r>
      <w:r w:rsidRPr="0027216C">
        <w:t>Kranken</w:t>
      </w:r>
      <w:r w:rsidR="009403A8">
        <w:t>-</w:t>
      </w:r>
      <w:r w:rsidR="002B02E1">
        <w:rPr>
          <w:rFonts w:cs="Segoe UI"/>
        </w:rPr>
        <w:t>]</w:t>
      </w:r>
      <w:r w:rsidRPr="0027216C">
        <w:t>Transport, Krankenhausaufenthalt, Aufnahme in eine Pflegeeinrichtung) zu gewährleisten (EPUAP 2020</w:t>
      </w:r>
      <w:r w:rsidR="009403A8">
        <w:t>;</w:t>
      </w:r>
      <w:r w:rsidRPr="0027216C">
        <w:t xml:space="preserve"> IWGDF 2023).</w:t>
      </w:r>
    </w:p>
    <w:p w14:paraId="7D530F23" w14:textId="61C81920" w:rsidR="007E3FAA" w:rsidRPr="000868DC" w:rsidRDefault="00A42038">
      <w:pPr>
        <w:spacing w:before="360"/>
        <w:rPr>
          <w:rFonts w:ascii="Segoe UI Semibold" w:hAnsi="Segoe UI Semibold" w:cs="Segoe UI Semibold"/>
        </w:rPr>
      </w:pPr>
      <w:r w:rsidRPr="000868DC">
        <w:rPr>
          <w:rFonts w:ascii="Segoe UI Semibold" w:hAnsi="Segoe UI Semibold" w:cs="Segoe UI Semibold"/>
        </w:rPr>
        <w:t>Evidenzbasis:</w:t>
      </w:r>
    </w:p>
    <w:p w14:paraId="7678BD01" w14:textId="77777777" w:rsidR="007E3FAA" w:rsidRPr="0027216C" w:rsidRDefault="00A42038">
      <w:pPr>
        <w:spacing w:before="0"/>
      </w:pPr>
      <w:r w:rsidRPr="0027216C">
        <w:t>Beobachtungsstudien in:</w:t>
      </w:r>
    </w:p>
    <w:p w14:paraId="10F7C2FB" w14:textId="5478D42A" w:rsidR="007E3FAA" w:rsidRPr="0027216C" w:rsidRDefault="00A42038" w:rsidP="000868DC">
      <w:pPr>
        <w:pStyle w:val="Liste1"/>
      </w:pPr>
      <w:r w:rsidRPr="0027216C">
        <w:t xml:space="preserve">EPUAP </w:t>
      </w:r>
      <w:r w:rsidR="009403A8">
        <w:t>(</w:t>
      </w:r>
      <w:r w:rsidRPr="0027216C">
        <w:t>2020</w:t>
      </w:r>
      <w:r w:rsidR="009403A8">
        <w:t>)</w:t>
      </w:r>
      <w:r w:rsidRPr="0027216C">
        <w:t>: Prävention und Behandlung von Dekubitus</w:t>
      </w:r>
    </w:p>
    <w:p w14:paraId="0BFFD527" w14:textId="3A702C8B" w:rsidR="007E3FAA" w:rsidRPr="0027216C" w:rsidRDefault="00A42038" w:rsidP="000868DC">
      <w:pPr>
        <w:pStyle w:val="Liste1"/>
        <w:rPr>
          <w:lang w:val="en-US"/>
        </w:rPr>
      </w:pPr>
      <w:r w:rsidRPr="0027216C">
        <w:rPr>
          <w:lang w:val="en-US"/>
        </w:rPr>
        <w:t xml:space="preserve">IWGDF </w:t>
      </w:r>
      <w:r w:rsidR="009403A8">
        <w:rPr>
          <w:lang w:val="en-US"/>
        </w:rPr>
        <w:t>(</w:t>
      </w:r>
      <w:r w:rsidRPr="0027216C">
        <w:rPr>
          <w:lang w:val="en-US"/>
        </w:rPr>
        <w:t>2023</w:t>
      </w:r>
      <w:r w:rsidR="009403A8">
        <w:rPr>
          <w:lang w:val="en-US"/>
        </w:rPr>
        <w:t>)</w:t>
      </w:r>
      <w:r w:rsidRPr="0027216C">
        <w:rPr>
          <w:lang w:val="en-US"/>
        </w:rPr>
        <w:t>: Practical guidelines on the prevention and management of diabetes-related foot disease</w:t>
      </w:r>
    </w:p>
    <w:p w14:paraId="69E25941" w14:textId="7C69AFCD" w:rsidR="007E3FAA" w:rsidRPr="0027216C" w:rsidRDefault="00A42038">
      <w:pPr>
        <w:rPr>
          <w:bCs/>
        </w:rPr>
      </w:pPr>
      <w:r w:rsidRPr="000868DC">
        <w:rPr>
          <w:rFonts w:ascii="Segoe UI Semibold" w:hAnsi="Segoe UI Semibold" w:cs="Segoe UI Semibold"/>
        </w:rPr>
        <w:t>Evidenzstärke:</w:t>
      </w:r>
      <w:r w:rsidRPr="0027216C">
        <w:t xml:space="preserve"> </w:t>
      </w:r>
      <w:r w:rsidRPr="0027216C">
        <w:rPr>
          <w:bCs/>
        </w:rPr>
        <w:t>mittel</w:t>
      </w:r>
    </w:p>
    <w:p w14:paraId="2B87155D" w14:textId="77777777" w:rsidR="007E3FAA" w:rsidRPr="0027216C" w:rsidRDefault="00A42038">
      <w:r w:rsidRPr="000868DC">
        <w:rPr>
          <w:rFonts w:ascii="Segoe UI Semibold" w:hAnsi="Segoe UI Semibold" w:cs="Segoe UI Semibold"/>
        </w:rPr>
        <w:t>Empfehlungsgrad: A</w:t>
      </w:r>
      <w:r w:rsidRPr="0027216C">
        <w:t xml:space="preserve"> </w:t>
      </w:r>
      <w:r w:rsidRPr="0027216C">
        <w:rPr>
          <w:bCs/>
        </w:rPr>
        <w:t>(</w:t>
      </w:r>
      <w:r w:rsidRPr="0027216C">
        <w:t>starke Empfehlung)</w:t>
      </w:r>
    </w:p>
    <w:p w14:paraId="784B6933" w14:textId="42380BFF" w:rsidR="007E3FAA" w:rsidRPr="0027216C" w:rsidRDefault="00A42038" w:rsidP="00505F8C">
      <w:pPr>
        <w:jc w:val="left"/>
        <w:rPr>
          <w:b/>
          <w:bCs/>
        </w:rPr>
      </w:pPr>
      <w:r w:rsidRPr="000868DC">
        <w:rPr>
          <w:rFonts w:ascii="Segoe UI Semibold" w:hAnsi="Segoe UI Semibold" w:cs="Segoe UI Semibold"/>
        </w:rPr>
        <w:t>Qualitätsindikator:</w:t>
      </w:r>
      <w:r w:rsidRPr="0027216C">
        <w:rPr>
          <w:b/>
          <w:bCs/>
        </w:rPr>
        <w:t xml:space="preserve"> </w:t>
      </w:r>
      <w:r w:rsidR="00505F8C" w:rsidRPr="0027216C">
        <w:t>nicht definiert</w:t>
      </w:r>
    </w:p>
    <w:p w14:paraId="031D5F36" w14:textId="42AE82FC" w:rsidR="007E3FAA" w:rsidRPr="0027216C" w:rsidRDefault="00A42038">
      <w:pPr>
        <w:pStyle w:val="berschrift2"/>
        <w:pageBreakBefore/>
      </w:pPr>
      <w:bookmarkStart w:id="109" w:name="_Toc211342079"/>
      <w:r w:rsidRPr="0027216C">
        <w:lastRenderedPageBreak/>
        <w:t>Empfehlung 11: Tele</w:t>
      </w:r>
      <w:r w:rsidR="008F4167" w:rsidRPr="0027216C">
        <w:t>wundmanagement</w:t>
      </w:r>
      <w:bookmarkEnd w:id="109"/>
    </w:p>
    <w:p w14:paraId="7AA503C1" w14:textId="1C4E9F5E" w:rsidR="00DC45C6" w:rsidRPr="000868DC" w:rsidRDefault="006565BC" w:rsidP="003752C4">
      <w:pPr>
        <w:shd w:val="clear" w:color="auto" w:fill="A0C0D4" w:themeFill="accent2" w:themeFillTint="99"/>
        <w:spacing w:before="0" w:after="360" w:line="240" w:lineRule="auto"/>
        <w:rPr>
          <w:rFonts w:ascii="Segoe UI Semibold" w:hAnsi="Segoe UI Semibold" w:cs="Segoe UI Semibold"/>
        </w:rPr>
      </w:pPr>
      <w:r w:rsidRPr="000868DC">
        <w:rPr>
          <w:rFonts w:ascii="Segoe UI Semibold" w:hAnsi="Segoe UI Semibold" w:cs="Segoe UI Semibold"/>
          <w:noProof/>
          <w:lang w:eastAsia="de-AT" w:bidi="ar-SA"/>
        </w:rPr>
        <w:drawing>
          <wp:anchor distT="0" distB="0" distL="114300" distR="114300" simplePos="0" relativeHeight="251797504" behindDoc="0" locked="0" layoutInCell="1" allowOverlap="1" wp14:anchorId="4B592C44" wp14:editId="37040DD0">
            <wp:simplePos x="0" y="0"/>
            <wp:positionH relativeFrom="margin">
              <wp:align>left</wp:align>
            </wp:positionH>
            <wp:positionV relativeFrom="paragraph">
              <wp:posOffset>28744</wp:posOffset>
            </wp:positionV>
            <wp:extent cx="590550" cy="509270"/>
            <wp:effectExtent l="0" t="0" r="0" b="5080"/>
            <wp:wrapSquare wrapText="bothSides"/>
            <wp:docPr id="822942876"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67752" name="Grafik 1" descr="Ein Bild, das Schwarz, Dunkelheit enthält.&#10;&#10;Automatisch generierte Beschreibung"/>
                    <pic:cNvPicPr/>
                  </pic:nvPicPr>
                  <pic:blipFill rotWithShape="1">
                    <a:blip r:embed="rId23" cstate="print">
                      <a:extLst>
                        <a:ext uri="{28A0092B-C50C-407E-A947-70E740481C1C}">
                          <a14:useLocalDpi xmlns:a14="http://schemas.microsoft.com/office/drawing/2010/main" val="0"/>
                        </a:ext>
                      </a:extLst>
                    </a:blip>
                    <a:srcRect b="13804"/>
                    <a:stretch/>
                  </pic:blipFill>
                  <pic:spPr bwMode="auto">
                    <a:xfrm>
                      <a:off x="0" y="0"/>
                      <a:ext cx="590550" cy="509270"/>
                    </a:xfrm>
                    <a:prstGeom prst="rect">
                      <a:avLst/>
                    </a:prstGeom>
                    <a:ln>
                      <a:noFill/>
                    </a:ln>
                    <a:extLst>
                      <a:ext uri="{53640926-AAD7-44D8-BBD7-CCE9431645EC}">
                        <a14:shadowObscured xmlns:a14="http://schemas.microsoft.com/office/drawing/2010/main"/>
                      </a:ext>
                    </a:extLst>
                  </pic:spPr>
                </pic:pic>
              </a:graphicData>
            </a:graphic>
          </wp:anchor>
        </w:drawing>
      </w:r>
      <w:r w:rsidR="00F91972" w:rsidRPr="000868DC">
        <w:rPr>
          <w:rFonts w:ascii="Segoe UI Semibold" w:hAnsi="Segoe UI Semibold" w:cs="Segoe UI Semibold"/>
        </w:rPr>
        <w:t>Der Einsatz von digitalen Telewundmanagement-Anwendungen zur Unterstützung der Versorgung von chronischen Wunden soll in Betracht gezogen werden, wenn die erforderlichen Rahmenbedingungen gegeben sind</w:t>
      </w:r>
      <w:r w:rsidR="00BE7CE6" w:rsidRPr="000868DC">
        <w:rPr>
          <w:rFonts w:ascii="Segoe UI Semibold" w:hAnsi="Segoe UI Semibold" w:cs="Segoe UI Semibold"/>
        </w:rPr>
        <w:t>.</w:t>
      </w:r>
    </w:p>
    <w:p w14:paraId="5E01E212" w14:textId="6E5ECC75" w:rsidR="007E3FAA" w:rsidRPr="000868DC" w:rsidRDefault="00A42038">
      <w:pPr>
        <w:rPr>
          <w:rFonts w:ascii="Segoe UI Semibold" w:hAnsi="Segoe UI Semibold" w:cs="Segoe UI Semibold"/>
        </w:rPr>
      </w:pPr>
      <w:r w:rsidRPr="000868DC">
        <w:rPr>
          <w:rFonts w:ascii="Segoe UI Semibold" w:hAnsi="Segoe UI Semibold" w:cs="Segoe UI Semibold"/>
        </w:rPr>
        <w:t>Hintergrund / weiterführende Information</w:t>
      </w:r>
    </w:p>
    <w:p w14:paraId="06E98C6A" w14:textId="0F448FED" w:rsidR="008E06D6" w:rsidRPr="0027216C" w:rsidRDefault="006565BC" w:rsidP="008F4C94">
      <w:pPr>
        <w:spacing w:before="120"/>
        <w:rPr>
          <w:bCs/>
        </w:rPr>
      </w:pPr>
      <w:r w:rsidRPr="0027216C">
        <w:rPr>
          <w:bCs/>
        </w:rPr>
        <w:t>Telewundmanagement-Anwendungen sollen bei der Versorgung von chronischen Wunden unterstützend eingesetzt werden</w:t>
      </w:r>
      <w:r w:rsidR="005A0E21" w:rsidRPr="0027216C">
        <w:rPr>
          <w:bCs/>
        </w:rPr>
        <w:t xml:space="preserve">, wobei sie </w:t>
      </w:r>
      <w:r w:rsidR="001E2C30" w:rsidRPr="0027216C">
        <w:rPr>
          <w:bCs/>
        </w:rPr>
        <w:t>primär</w:t>
      </w:r>
      <w:r w:rsidR="005A0E21" w:rsidRPr="0027216C">
        <w:rPr>
          <w:bCs/>
        </w:rPr>
        <w:t xml:space="preserve"> von den versorgenden GDA</w:t>
      </w:r>
      <w:r w:rsidR="001C4BA9">
        <w:rPr>
          <w:bCs/>
        </w:rPr>
        <w:t>,</w:t>
      </w:r>
      <w:r w:rsidR="005A0E21" w:rsidRPr="0027216C">
        <w:rPr>
          <w:bCs/>
        </w:rPr>
        <w:t xml:space="preserve"> </w:t>
      </w:r>
      <w:r w:rsidR="001E2C30" w:rsidRPr="0027216C">
        <w:rPr>
          <w:bCs/>
        </w:rPr>
        <w:t>aber</w:t>
      </w:r>
      <w:r w:rsidR="005A0E21" w:rsidRPr="0027216C">
        <w:rPr>
          <w:bCs/>
        </w:rPr>
        <w:t xml:space="preserve"> auch gegebenenfalls von den </w:t>
      </w:r>
      <w:r w:rsidR="00C1511F" w:rsidRPr="00C1511F">
        <w:rPr>
          <w:bCs/>
        </w:rPr>
        <w:t xml:space="preserve">Patientinnen und Patienten </w:t>
      </w:r>
      <w:r w:rsidR="00673F82" w:rsidRPr="0027216C">
        <w:rPr>
          <w:bCs/>
        </w:rPr>
        <w:t xml:space="preserve">selbst </w:t>
      </w:r>
      <w:r w:rsidR="005A0E21" w:rsidRPr="0027216C">
        <w:rPr>
          <w:bCs/>
        </w:rPr>
        <w:t>bzw. deren An- und Zugehörigen angewendet werden können</w:t>
      </w:r>
      <w:r w:rsidR="001C4BA9">
        <w:rPr>
          <w:bCs/>
        </w:rPr>
        <w:t>.</w:t>
      </w:r>
      <w:r w:rsidR="00122392" w:rsidRPr="0027216C">
        <w:rPr>
          <w:bCs/>
        </w:rPr>
        <w:t xml:space="preserve"> Sie </w:t>
      </w:r>
      <w:r w:rsidR="008E06D6" w:rsidRPr="0027216C">
        <w:rPr>
          <w:bCs/>
        </w:rPr>
        <w:t>können die Kommunikation zwischen den verschiedenen involvierten GDA (z. B. Vor-Ort-Kontakt und im Wundzentrum) vereinfachen</w:t>
      </w:r>
      <w:r w:rsidR="00C25748" w:rsidRPr="0027216C">
        <w:rPr>
          <w:bCs/>
        </w:rPr>
        <w:t xml:space="preserve"> und verbessern.</w:t>
      </w:r>
    </w:p>
    <w:p w14:paraId="02228E91" w14:textId="200618A8" w:rsidR="008E06D6" w:rsidRPr="0027216C" w:rsidRDefault="00C25748" w:rsidP="008F4C94">
      <w:pPr>
        <w:spacing w:before="120"/>
        <w:rPr>
          <w:bCs/>
        </w:rPr>
      </w:pPr>
      <w:r w:rsidRPr="0027216C">
        <w:rPr>
          <w:bCs/>
        </w:rPr>
        <w:t xml:space="preserve">Weiters können </w:t>
      </w:r>
      <w:r w:rsidR="00C1511F" w:rsidRPr="00C1511F">
        <w:rPr>
          <w:bCs/>
        </w:rPr>
        <w:t xml:space="preserve">Patientinnen und Patienten </w:t>
      </w:r>
      <w:r w:rsidRPr="0027216C">
        <w:rPr>
          <w:bCs/>
        </w:rPr>
        <w:t xml:space="preserve">bzw. deren An- und Zugehörige </w:t>
      </w:r>
      <w:r w:rsidR="001C4BA9" w:rsidRPr="0027216C">
        <w:rPr>
          <w:bCs/>
        </w:rPr>
        <w:t xml:space="preserve">im Rahmen der Verlaufskontrolle </w:t>
      </w:r>
      <w:r w:rsidRPr="0027216C">
        <w:rPr>
          <w:bCs/>
        </w:rPr>
        <w:t xml:space="preserve">wundspezifische Informationen </w:t>
      </w:r>
      <w:r w:rsidR="005C16BB" w:rsidRPr="0027216C">
        <w:rPr>
          <w:bCs/>
        </w:rPr>
        <w:t>(bspw. Wundfotos, Beschwerde- und Schmerzsituation) an die GDA übermitteln, wodurch gegebenenfalls Vor-Ort-Kontakte reduziert</w:t>
      </w:r>
      <w:r w:rsidR="00AA00A8" w:rsidRPr="0027216C">
        <w:rPr>
          <w:bCs/>
        </w:rPr>
        <w:t xml:space="preserve">, häufigere Wundbeurteilungen durchgeführt oder Verschlechterungen der Wundsituation früher erkannt werden können </w:t>
      </w:r>
      <w:r w:rsidR="000075B0" w:rsidRPr="0027216C">
        <w:rPr>
          <w:bCs/>
        </w:rPr>
        <w:t>(</w:t>
      </w:r>
      <w:r w:rsidR="00DE5568">
        <w:rPr>
          <w:rFonts w:cs="Segoe UI"/>
          <w:szCs w:val="20"/>
        </w:rPr>
        <w:t>AWMF</w:t>
      </w:r>
      <w:r w:rsidR="00DE5568" w:rsidRPr="0027216C">
        <w:rPr>
          <w:rFonts w:cs="Segoe UI"/>
          <w:szCs w:val="20"/>
        </w:rPr>
        <w:t xml:space="preserve"> </w:t>
      </w:r>
      <w:r w:rsidR="000075B0" w:rsidRPr="0027216C">
        <w:rPr>
          <w:rFonts w:cs="Segoe UI"/>
          <w:szCs w:val="20"/>
        </w:rPr>
        <w:t>2020)</w:t>
      </w:r>
      <w:r w:rsidR="003501F4" w:rsidRPr="0027216C">
        <w:rPr>
          <w:rFonts w:cs="Segoe UI"/>
          <w:szCs w:val="20"/>
        </w:rPr>
        <w:t>.</w:t>
      </w:r>
    </w:p>
    <w:p w14:paraId="38934E5B" w14:textId="30394858" w:rsidR="008F4C94" w:rsidRPr="0027216C" w:rsidRDefault="008F4C94" w:rsidP="008F4C94">
      <w:pPr>
        <w:spacing w:before="120"/>
        <w:rPr>
          <w:bCs/>
        </w:rPr>
      </w:pPr>
      <w:r w:rsidRPr="0027216C">
        <w:rPr>
          <w:bCs/>
        </w:rPr>
        <w:t xml:space="preserve">Damit </w:t>
      </w:r>
      <w:r w:rsidR="005A0E21" w:rsidRPr="0027216C">
        <w:rPr>
          <w:bCs/>
        </w:rPr>
        <w:t>der konkrete</w:t>
      </w:r>
      <w:r w:rsidRPr="0027216C">
        <w:rPr>
          <w:bCs/>
        </w:rPr>
        <w:t xml:space="preserve"> Einsatz von digitalen Anwendungen möglich und sinnvoll </w:t>
      </w:r>
      <w:r w:rsidR="007843EA" w:rsidRPr="0027216C">
        <w:rPr>
          <w:bCs/>
        </w:rPr>
        <w:t>ist</w:t>
      </w:r>
      <w:r w:rsidRPr="0027216C">
        <w:rPr>
          <w:bCs/>
        </w:rPr>
        <w:t xml:space="preserve">, müssen </w:t>
      </w:r>
      <w:r w:rsidR="005A0E21" w:rsidRPr="0027216C">
        <w:rPr>
          <w:bCs/>
        </w:rPr>
        <w:t>V</w:t>
      </w:r>
      <w:r w:rsidRPr="0027216C">
        <w:rPr>
          <w:bCs/>
        </w:rPr>
        <w:t>oraussetzungen erfüllt sein, u. a.:</w:t>
      </w:r>
    </w:p>
    <w:p w14:paraId="0631BE4C" w14:textId="33D82863" w:rsidR="008F4C94" w:rsidRPr="0027216C" w:rsidRDefault="008F4C94" w:rsidP="00755ABB">
      <w:pPr>
        <w:pStyle w:val="Liste1"/>
      </w:pPr>
      <w:r w:rsidRPr="0027216C">
        <w:t xml:space="preserve">Die technischen </w:t>
      </w:r>
      <w:r w:rsidR="005A0E21" w:rsidRPr="0027216C">
        <w:t>Strukturen</w:t>
      </w:r>
      <w:r w:rsidRPr="0027216C">
        <w:t xml:space="preserve"> sind gegeben (bspw. das Vorhandensein eines Mobiltelefons inkl. der entsprechenden Telewundmonitoring-Anwendung oder der Integration der Fotodokumentationsanwendung in der </w:t>
      </w:r>
      <w:r w:rsidR="001E2C30" w:rsidRPr="0027216C">
        <w:t>S</w:t>
      </w:r>
      <w:r w:rsidRPr="0027216C">
        <w:t>oftware)</w:t>
      </w:r>
      <w:r w:rsidR="00C20A27">
        <w:t>.</w:t>
      </w:r>
    </w:p>
    <w:p w14:paraId="3D5E16CB" w14:textId="4057D7BE" w:rsidR="008F4C94" w:rsidRPr="0027216C" w:rsidRDefault="008F4C94" w:rsidP="00755ABB">
      <w:pPr>
        <w:pStyle w:val="Liste1"/>
      </w:pPr>
      <w:r w:rsidRPr="0027216C">
        <w:t xml:space="preserve">Die technischen Fähigkeiten müssen sowohl bei den GDA als auch bei den </w:t>
      </w:r>
      <w:r w:rsidR="00C1511F" w:rsidRPr="00C1511F">
        <w:t xml:space="preserve">Patientinnen und Patienten </w:t>
      </w:r>
      <w:r w:rsidRPr="0027216C">
        <w:t>bzw. deren An- und Zugehörigen vorhanden sein (bspw. zur Anfertigung von gut sichtbaren Fotos oder zur Eintragung neuer Symptome)</w:t>
      </w:r>
      <w:r w:rsidR="00180603">
        <w:t>.</w:t>
      </w:r>
    </w:p>
    <w:p w14:paraId="5B9AEE6D" w14:textId="37DB6B5F" w:rsidR="008F4C94" w:rsidRPr="0027216C" w:rsidRDefault="008F4C94" w:rsidP="00755ABB">
      <w:pPr>
        <w:pStyle w:val="Liste1"/>
      </w:pPr>
      <w:r w:rsidRPr="0027216C">
        <w:t>Der Einsatz der Telewundma</w:t>
      </w:r>
      <w:r w:rsidR="00180603">
        <w:t>na</w:t>
      </w:r>
      <w:r w:rsidRPr="0027216C">
        <w:t>gement-Anwendung muss im konkreten Fall einen zusätzlichen versorgungsbezogenen Nutzen bringen</w:t>
      </w:r>
      <w:r w:rsidR="007843EA" w:rsidRPr="0027216C">
        <w:t>.</w:t>
      </w:r>
    </w:p>
    <w:p w14:paraId="4C1836F8" w14:textId="5452221B" w:rsidR="005A0E21" w:rsidRPr="0027216C" w:rsidRDefault="00C12DCB" w:rsidP="007843EA">
      <w:pPr>
        <w:spacing w:before="120"/>
        <w:rPr>
          <w:bCs/>
        </w:rPr>
      </w:pPr>
      <w:r w:rsidRPr="0027216C">
        <w:rPr>
          <w:bCs/>
        </w:rPr>
        <w:t xml:space="preserve">Telewundmanagement ist kein Ersatz für den </w:t>
      </w:r>
      <w:r w:rsidR="00036BDE" w:rsidRPr="0027216C">
        <w:rPr>
          <w:bCs/>
        </w:rPr>
        <w:t>erforderlichen analogen</w:t>
      </w:r>
      <w:r w:rsidRPr="0027216C">
        <w:rPr>
          <w:bCs/>
        </w:rPr>
        <w:t xml:space="preserve"> Kontakt zwischen</w:t>
      </w:r>
      <w:r w:rsidR="007843EA" w:rsidRPr="0027216C">
        <w:rPr>
          <w:bCs/>
        </w:rPr>
        <w:t xml:space="preserve"> </w:t>
      </w:r>
      <w:r w:rsidR="00C1511F" w:rsidRPr="00C1511F">
        <w:rPr>
          <w:bCs/>
        </w:rPr>
        <w:t>Patientinnen</w:t>
      </w:r>
      <w:r w:rsidR="00C20A27">
        <w:rPr>
          <w:bCs/>
        </w:rPr>
        <w:t xml:space="preserve"> und </w:t>
      </w:r>
      <w:r w:rsidR="00C1511F" w:rsidRPr="00C1511F">
        <w:rPr>
          <w:bCs/>
        </w:rPr>
        <w:t xml:space="preserve">Patienten </w:t>
      </w:r>
      <w:r w:rsidR="00C20A27">
        <w:rPr>
          <w:bCs/>
        </w:rPr>
        <w:t xml:space="preserve">sowie </w:t>
      </w:r>
      <w:r w:rsidRPr="0027216C">
        <w:rPr>
          <w:bCs/>
        </w:rPr>
        <w:t xml:space="preserve">GDA im Rahmen der Diagnosestellung, der Erstellung des Behandlungsplans </w:t>
      </w:r>
      <w:r w:rsidR="00036BDE" w:rsidRPr="0027216C">
        <w:rPr>
          <w:bCs/>
        </w:rPr>
        <w:t>sowie der</w:t>
      </w:r>
      <w:r w:rsidRPr="0027216C">
        <w:rPr>
          <w:bCs/>
        </w:rPr>
        <w:t xml:space="preserve"> </w:t>
      </w:r>
      <w:r w:rsidRPr="0027216C">
        <w:rPr>
          <w:rFonts w:cs="Lucida Sans Unicode"/>
        </w:rPr>
        <w:t>umfassende</w:t>
      </w:r>
      <w:r w:rsidR="00036BDE" w:rsidRPr="0027216C">
        <w:rPr>
          <w:rFonts w:cs="Lucida Sans Unicode"/>
        </w:rPr>
        <w:t>n</w:t>
      </w:r>
      <w:r w:rsidRPr="0027216C">
        <w:rPr>
          <w:rFonts w:cs="Lucida Sans Unicode"/>
        </w:rPr>
        <w:t xml:space="preserve"> Neubeurteilung</w:t>
      </w:r>
      <w:r w:rsidR="00036BDE" w:rsidRPr="0027216C">
        <w:rPr>
          <w:rFonts w:cs="Lucida Sans Unicode"/>
        </w:rPr>
        <w:t xml:space="preserve"> (Evaluation) bei fehlender Heilungstendenz.</w:t>
      </w:r>
    </w:p>
    <w:p w14:paraId="0D74A959" w14:textId="6DF349AF" w:rsidR="006565BC" w:rsidRPr="0027216C" w:rsidRDefault="006565BC" w:rsidP="00755ABB">
      <w:pPr>
        <w:pStyle w:val="Liste1"/>
        <w:numPr>
          <w:ilvl w:val="0"/>
          <w:numId w:val="0"/>
        </w:numPr>
      </w:pPr>
      <w:r w:rsidRPr="0027216C">
        <w:t>Telewundmanagement-Anwendungen sind derzeit in Österreich (bspw. im Rahmen von Projekten der ZS-G) in Ausarbeitung.</w:t>
      </w:r>
    </w:p>
    <w:p w14:paraId="21E397F9" w14:textId="295EC3A6" w:rsidR="00C91BDC" w:rsidRDefault="00C91BDC" w:rsidP="00DE5568">
      <w:pPr>
        <w:spacing w:before="240"/>
        <w:rPr>
          <w:rFonts w:ascii="Segoe UI Semibold" w:hAnsi="Segoe UI Semibold" w:cs="Segoe UI Semibold"/>
        </w:rPr>
      </w:pPr>
      <w:r w:rsidRPr="000868DC">
        <w:rPr>
          <w:rFonts w:ascii="Segoe UI Semibold" w:hAnsi="Segoe UI Semibold" w:cs="Segoe UI Semibold"/>
        </w:rPr>
        <w:t>Evidenzbasis:</w:t>
      </w:r>
    </w:p>
    <w:p w14:paraId="15C6C4E4" w14:textId="7A7740FA" w:rsidR="0057394C" w:rsidRPr="00DE5568" w:rsidRDefault="00DE5568" w:rsidP="00DE5568">
      <w:pPr>
        <w:spacing w:before="0"/>
        <w:rPr>
          <w:rFonts w:cs="Segoe UI"/>
        </w:rPr>
      </w:pPr>
      <w:r>
        <w:rPr>
          <w:rFonts w:cs="Segoe UI"/>
        </w:rPr>
        <w:t xml:space="preserve">Beobachtungsstudien und </w:t>
      </w:r>
      <w:r w:rsidR="0057394C" w:rsidRPr="00DE5568">
        <w:rPr>
          <w:rFonts w:cs="Segoe UI"/>
        </w:rPr>
        <w:t>Expertenkonsens in:</w:t>
      </w:r>
    </w:p>
    <w:p w14:paraId="68CE6BEA" w14:textId="516DD851" w:rsidR="00613896" w:rsidRDefault="00613896">
      <w:pPr>
        <w:pStyle w:val="Liste1"/>
      </w:pPr>
      <w:r>
        <w:t xml:space="preserve">AWMF (2020): </w:t>
      </w:r>
      <w:r w:rsidRPr="00613896">
        <w:t>S2k-Leitlinie Teledermatologie</w:t>
      </w:r>
    </w:p>
    <w:p w14:paraId="665972E8" w14:textId="3AE61C78" w:rsidR="004837EE" w:rsidRPr="0027216C" w:rsidRDefault="00C91BDC" w:rsidP="004837EE">
      <w:pPr>
        <w:pStyle w:val="Liste1"/>
        <w:rPr>
          <w:lang w:val="en-US"/>
        </w:rPr>
      </w:pPr>
      <w:bookmarkStart w:id="110" w:name="_Hlk204151001"/>
      <w:proofErr w:type="spellStart"/>
      <w:r w:rsidRPr="0027216C">
        <w:rPr>
          <w:lang w:val="en-US"/>
        </w:rPr>
        <w:t>Vinatzer</w:t>
      </w:r>
      <w:proofErr w:type="spellEnd"/>
      <w:r w:rsidRPr="0027216C">
        <w:rPr>
          <w:lang w:val="en-US"/>
        </w:rPr>
        <w:t xml:space="preserve"> et al. (2024)</w:t>
      </w:r>
      <w:r w:rsidR="006F353E">
        <w:rPr>
          <w:lang w:val="en-US"/>
        </w:rPr>
        <w:t>:</w:t>
      </w:r>
      <w:r w:rsidRPr="0027216C">
        <w:rPr>
          <w:lang w:val="en-US"/>
        </w:rPr>
        <w:t xml:space="preserve"> A Standardized Treatment Pathway for Telehealth-Based Care of Chronic Wounds in Austria</w:t>
      </w:r>
      <w:r w:rsidR="004837EE" w:rsidRPr="004837EE">
        <w:rPr>
          <w:lang w:val="en-US"/>
        </w:rPr>
        <w:t>.</w:t>
      </w:r>
    </w:p>
    <w:p w14:paraId="19D59854" w14:textId="1DF796D4" w:rsidR="00E0400D" w:rsidRPr="0027216C" w:rsidRDefault="00E0400D" w:rsidP="004837EE">
      <w:pPr>
        <w:pStyle w:val="Liste1"/>
      </w:pPr>
      <w:r w:rsidRPr="0027216C">
        <w:t>Augustin (2018)</w:t>
      </w:r>
      <w:r w:rsidR="00CB7B47">
        <w:t>:</w:t>
      </w:r>
      <w:r w:rsidRPr="0027216C">
        <w:t xml:space="preserve"> Praxis der Teledermatologie</w:t>
      </w:r>
    </w:p>
    <w:bookmarkEnd w:id="110"/>
    <w:p w14:paraId="50F44958" w14:textId="77777777" w:rsidR="00555107" w:rsidRDefault="00555107" w:rsidP="00555107">
      <w:pPr>
        <w:pStyle w:val="Liste1"/>
        <w:numPr>
          <w:ilvl w:val="0"/>
          <w:numId w:val="0"/>
        </w:numPr>
        <w:rPr>
          <w:rFonts w:ascii="Segoe UI Semibold" w:hAnsi="Segoe UI Semibold" w:cs="Segoe UI Semibold"/>
        </w:rPr>
      </w:pPr>
    </w:p>
    <w:p w14:paraId="6DE7F833" w14:textId="35211375" w:rsidR="00C91BDC" w:rsidRPr="0027216C" w:rsidRDefault="006565BC" w:rsidP="00DE5568">
      <w:pPr>
        <w:pStyle w:val="Liste1"/>
        <w:numPr>
          <w:ilvl w:val="0"/>
          <w:numId w:val="0"/>
        </w:numPr>
        <w:spacing w:before="0" w:line="220" w:lineRule="exact"/>
      </w:pPr>
      <w:r w:rsidRPr="00AB07F5">
        <w:rPr>
          <w:rFonts w:ascii="Segoe UI Semibold" w:hAnsi="Segoe UI Semibold" w:cs="Segoe UI Semibold"/>
        </w:rPr>
        <w:t>Evidenzstärke:</w:t>
      </w:r>
      <w:r w:rsidRPr="0027216C">
        <w:t xml:space="preserve"> mittel</w:t>
      </w:r>
    </w:p>
    <w:p w14:paraId="1A0704DB" w14:textId="77777777" w:rsidR="006565BC" w:rsidRPr="0027216C" w:rsidRDefault="006565BC" w:rsidP="006565BC">
      <w:r w:rsidRPr="00AB07F5">
        <w:rPr>
          <w:rFonts w:ascii="Segoe UI Semibold" w:hAnsi="Segoe UI Semibold" w:cs="Segoe UI Semibold"/>
        </w:rPr>
        <w:t>Empfehlungsgrad: A</w:t>
      </w:r>
      <w:r w:rsidRPr="0027216C">
        <w:t xml:space="preserve"> </w:t>
      </w:r>
      <w:r w:rsidRPr="0027216C">
        <w:rPr>
          <w:bCs/>
        </w:rPr>
        <w:t>(</w:t>
      </w:r>
      <w:r w:rsidRPr="0027216C">
        <w:t>starke Empfehlung)</w:t>
      </w:r>
    </w:p>
    <w:p w14:paraId="6B0CD8A3" w14:textId="18A6CF3A" w:rsidR="007E3FAA" w:rsidRPr="0027216C" w:rsidRDefault="006565BC">
      <w:pPr>
        <w:rPr>
          <w:b/>
          <w:bCs/>
        </w:rPr>
      </w:pPr>
      <w:r w:rsidRPr="00AB07F5">
        <w:rPr>
          <w:rFonts w:ascii="Segoe UI Semibold" w:hAnsi="Segoe UI Semibold" w:cs="Segoe UI Semibold"/>
        </w:rPr>
        <w:t>Qualitätsindikator:</w:t>
      </w:r>
      <w:r w:rsidRPr="0027216C">
        <w:rPr>
          <w:b/>
          <w:bCs/>
        </w:rPr>
        <w:t xml:space="preserve"> </w:t>
      </w:r>
      <w:r w:rsidR="00B72F9D" w:rsidRPr="0027216C">
        <w:t>nicht definiert</w:t>
      </w:r>
    </w:p>
    <w:p w14:paraId="66DFE8A3" w14:textId="54777EDD" w:rsidR="007E3FAA" w:rsidRPr="0027216C" w:rsidRDefault="00A42038">
      <w:pPr>
        <w:pStyle w:val="berschrift1"/>
      </w:pPr>
      <w:bookmarkStart w:id="111" w:name="_Toc159827628"/>
      <w:bookmarkStart w:id="112" w:name="_Toc211342080"/>
      <w:r w:rsidRPr="0027216C">
        <w:lastRenderedPageBreak/>
        <w:t xml:space="preserve">Gültigkeitsdauer, Evaluierung und </w:t>
      </w:r>
      <w:r w:rsidR="00C84B7D">
        <w:br/>
      </w:r>
      <w:r w:rsidRPr="0027216C">
        <w:t>Aktualisierungsbedarf</w:t>
      </w:r>
      <w:bookmarkEnd w:id="111"/>
      <w:bookmarkEnd w:id="112"/>
    </w:p>
    <w:p w14:paraId="36ECA622" w14:textId="505C74EF" w:rsidR="007E3FAA" w:rsidRPr="0027216C" w:rsidRDefault="00A42038">
      <w:pPr>
        <w:pStyle w:val="Standard0"/>
      </w:pPr>
      <w:r w:rsidRPr="0027216C">
        <w:t>Die Gültigkeit dieses QS ist auf fünf Jahre ab Veröffentlichung festgelegt.</w:t>
      </w:r>
    </w:p>
    <w:p w14:paraId="49579B31" w14:textId="4E724403" w:rsidR="007E3FAA" w:rsidRPr="0027216C" w:rsidRDefault="00A42038" w:rsidP="003752C4">
      <w:r w:rsidRPr="0027216C">
        <w:t>Für die Evaluierung des QS ist der Auftraggeber zuständig. Rechtzeitig vor Ablauf der Gültigkeit soll auf Basis der Überprüfung der möglicherweise veränderten Grundlagen (z. B. Leitlinien) und von Evaluierungsergebnissen der Aktualisierungsbedarf des QS überprüft werden. In der Folge kann eine etwaige Verlängerung der Gültigkeit (Fortschreibung) bzw. die Aktualisierung des QS eingeleitet werden.</w:t>
      </w:r>
    </w:p>
    <w:p w14:paraId="40E97553" w14:textId="03902A83" w:rsidR="007E3FAA" w:rsidRPr="00AB07F5" w:rsidRDefault="007427EE" w:rsidP="00AB07F5">
      <w:pPr>
        <w:pStyle w:val="berschrift"/>
        <w:rPr>
          <w:lang w:val="en-US"/>
        </w:rPr>
      </w:pPr>
      <w:bookmarkStart w:id="113" w:name="_Toc211342081"/>
      <w:proofErr w:type="spellStart"/>
      <w:r w:rsidRPr="00AB07F5">
        <w:rPr>
          <w:lang w:val="en-US"/>
        </w:rPr>
        <w:lastRenderedPageBreak/>
        <w:t>Literatur</w:t>
      </w:r>
      <w:bookmarkEnd w:id="113"/>
      <w:proofErr w:type="spellEnd"/>
    </w:p>
    <w:p w14:paraId="5746D8C7" w14:textId="77777777" w:rsidR="007E3FAA" w:rsidRPr="0027216C" w:rsidRDefault="00A42038" w:rsidP="00153C32">
      <w:pPr>
        <w:pStyle w:val="Literatur"/>
        <w:rPr>
          <w:lang w:val="de-DE"/>
        </w:rPr>
      </w:pPr>
      <w:r w:rsidRPr="0027216C">
        <w:rPr>
          <w:lang w:val="en-AU"/>
        </w:rPr>
        <w:t xml:space="preserve">AAWC (2017): The Development and Content Validation of a Multidisciplinary, Evidence-based Wound Infection Prevention and Treatment Guideline [online]. </w:t>
      </w:r>
      <w:proofErr w:type="gramStart"/>
      <w:r w:rsidRPr="0027216C">
        <w:rPr>
          <w:lang w:val="de-DE"/>
        </w:rPr>
        <w:t>AAWC Feature</w:t>
      </w:r>
      <w:proofErr w:type="gramEnd"/>
      <w:r w:rsidRPr="0027216C">
        <w:rPr>
          <w:lang w:val="de-DE"/>
        </w:rPr>
        <w:t xml:space="preserve">. </w:t>
      </w:r>
      <w:hyperlink r:id="rId36" w:history="1">
        <w:r w:rsidRPr="0027216C">
          <w:rPr>
            <w:rStyle w:val="Hyperlink"/>
            <w:rFonts w:cs="Segoe UI"/>
            <w:szCs w:val="20"/>
            <w:lang w:val="de-DE"/>
          </w:rPr>
          <w:t>https://aawconline.memberclicks.net/assets/docs/Zakhary-et-al-ICWiGDevValidationOWM-17.pdf</w:t>
        </w:r>
      </w:hyperlink>
      <w:r w:rsidRPr="0027216C">
        <w:rPr>
          <w:lang w:val="de-DE"/>
        </w:rPr>
        <w:t xml:space="preserve"> [Zugriff am 20.04.2022]</w:t>
      </w:r>
    </w:p>
    <w:p w14:paraId="234F30B6" w14:textId="3DBB7EA7" w:rsidR="00C3506F" w:rsidRPr="0027216C" w:rsidRDefault="00C3506F" w:rsidP="00153C32">
      <w:pPr>
        <w:pStyle w:val="Literatur"/>
        <w:rPr>
          <w:lang w:val="de-DE"/>
        </w:rPr>
      </w:pPr>
      <w:r w:rsidRPr="0027216C">
        <w:rPr>
          <w:lang w:val="de-DE"/>
        </w:rPr>
        <w:t xml:space="preserve">Augustin M (2018), Praxis der Teledermatologie. JDDG: Journal der Deutschen Dermatologischen Gesellschaft, 16: 6-57. </w:t>
      </w:r>
      <w:hyperlink r:id="rId37" w:history="1">
        <w:r w:rsidRPr="0027216C">
          <w:rPr>
            <w:u w:val="single"/>
            <w:lang w:val="de-DE"/>
          </w:rPr>
          <w:t>https://doi.org/10.1111/ddg.13512</w:t>
        </w:r>
      </w:hyperlink>
      <w:r w:rsidR="008E04B3" w:rsidRPr="0027216C">
        <w:rPr>
          <w:lang w:val="de-DE"/>
        </w:rPr>
        <w:t xml:space="preserve"> </w:t>
      </w:r>
      <w:r w:rsidRPr="0027216C">
        <w:rPr>
          <w:lang w:val="de-DE"/>
        </w:rPr>
        <w:t xml:space="preserve">[Zugriff am 23.07.2025] </w:t>
      </w:r>
    </w:p>
    <w:p w14:paraId="089A8C89" w14:textId="2568E3E2" w:rsidR="00E717F2" w:rsidRDefault="00E717F2" w:rsidP="00E717F2">
      <w:pPr>
        <w:pStyle w:val="Literatur"/>
        <w:rPr>
          <w:lang w:val="de-DE"/>
        </w:rPr>
      </w:pPr>
      <w:r>
        <w:rPr>
          <w:lang w:val="de-DE"/>
        </w:rPr>
        <w:t xml:space="preserve">AWMF (2020). </w:t>
      </w:r>
      <w:r w:rsidR="00F26C46">
        <w:rPr>
          <w:lang w:val="de-DE"/>
        </w:rPr>
        <w:t xml:space="preserve">S2k-Leitlinie Teledermatologie. </w:t>
      </w:r>
      <w:hyperlink r:id="rId38" w:history="1">
        <w:r w:rsidR="00F26C46" w:rsidRPr="00751777">
          <w:rPr>
            <w:rStyle w:val="Hyperlink"/>
            <w:lang w:val="de-DE"/>
          </w:rPr>
          <w:t>https://register.awmf.org/assets/guidelines/013-097l_S2k_Teledermatologie_2024-11-verlaengert.pdf</w:t>
        </w:r>
      </w:hyperlink>
      <w:r w:rsidR="00F26C46">
        <w:rPr>
          <w:lang w:val="de-DE"/>
        </w:rPr>
        <w:t xml:space="preserve"> [Zugriff am 03.10.2025]</w:t>
      </w:r>
    </w:p>
    <w:p w14:paraId="4C65902F" w14:textId="1C411A4C" w:rsidR="007E3FAA" w:rsidRPr="0027216C" w:rsidRDefault="00A42038" w:rsidP="00153C32">
      <w:pPr>
        <w:pStyle w:val="Literatur"/>
        <w:rPr>
          <w:lang w:val="de-DE"/>
        </w:rPr>
      </w:pPr>
      <w:r w:rsidRPr="0027216C">
        <w:rPr>
          <w:lang w:val="de-DE"/>
        </w:rPr>
        <w:t xml:space="preserve">AWMF (2023). Lokaltherapie chronischer Wunden bei Patienten mit den Risiken periphere arterielle Verschlusskrankheit, Diabetes mellitus, chronische venöse Insuffizienz. Version 2.0. </w:t>
      </w:r>
      <w:hyperlink r:id="rId39" w:history="1">
        <w:r w:rsidR="00726557" w:rsidRPr="0027216C">
          <w:rPr>
            <w:rStyle w:val="Hyperlink"/>
            <w:rFonts w:cs="Segoe UI"/>
            <w:szCs w:val="20"/>
            <w:lang w:val="de-DE"/>
          </w:rPr>
          <w:t>https://www.awmf.org/leitlinien/detail/anmeldung/1/ll/091-001.html</w:t>
        </w:r>
      </w:hyperlink>
      <w:r w:rsidRPr="0027216C">
        <w:rPr>
          <w:lang w:val="de-DE"/>
        </w:rPr>
        <w:t xml:space="preserve"> [Zugriff am 19.12.2023]</w:t>
      </w:r>
    </w:p>
    <w:p w14:paraId="5213663A" w14:textId="77777777" w:rsidR="001805E5" w:rsidRPr="0027216C" w:rsidRDefault="001805E5" w:rsidP="00153C32">
      <w:pPr>
        <w:pStyle w:val="Literatur"/>
      </w:pPr>
      <w:r w:rsidRPr="0027216C">
        <w:rPr>
          <w:lang w:val="de-DE"/>
        </w:rPr>
        <w:t xml:space="preserve">AWMF (2024a). S2k-Leitlinie Diagnostik und Therapie des Ulcus cruris venosum. </w:t>
      </w:r>
      <w:hyperlink r:id="rId40" w:history="1">
        <w:r w:rsidRPr="0027216C">
          <w:rPr>
            <w:rStyle w:val="Hyperlink"/>
            <w:rFonts w:cs="Segoe UI"/>
            <w:szCs w:val="20"/>
            <w:lang w:val="de-DE"/>
          </w:rPr>
          <w:t>https://register.awmf.org/assets/guidelines/037-009l_S2k_Diagnostik-Therapie-Ulcus-cruris-venosum__2024-01_1.pdf</w:t>
        </w:r>
      </w:hyperlink>
      <w:r w:rsidRPr="0027216C">
        <w:rPr>
          <w:lang w:val="de-DE"/>
        </w:rPr>
        <w:t xml:space="preserve"> [Zugriff am 26.05.2024]</w:t>
      </w:r>
    </w:p>
    <w:p w14:paraId="1C5FD7CE" w14:textId="51034C95" w:rsidR="000273C1" w:rsidRDefault="000273C1">
      <w:pPr>
        <w:pStyle w:val="Literatur"/>
        <w:rPr>
          <w:lang w:val="de-DE"/>
        </w:rPr>
      </w:pPr>
      <w:r w:rsidRPr="0027216C">
        <w:rPr>
          <w:lang w:val="de-DE"/>
        </w:rPr>
        <w:t>AWMF (2024</w:t>
      </w:r>
      <w:r w:rsidR="001805E5" w:rsidRPr="0027216C">
        <w:rPr>
          <w:lang w:val="de-DE"/>
        </w:rPr>
        <w:t>b</w:t>
      </w:r>
      <w:r w:rsidRPr="0027216C">
        <w:rPr>
          <w:lang w:val="de-DE"/>
        </w:rPr>
        <w:t>). S3-Leitlinie zur Diagnostik, Therapie und Nachsorge der peripheren a</w:t>
      </w:r>
      <w:r w:rsidR="004760D3">
        <w:rPr>
          <w:lang w:val="de-DE"/>
        </w:rPr>
        <w:t>r</w:t>
      </w:r>
      <w:r w:rsidRPr="0027216C">
        <w:rPr>
          <w:lang w:val="de-DE"/>
        </w:rPr>
        <w:t xml:space="preserve">teriellen Verschlusskrankheit. </w:t>
      </w:r>
      <w:hyperlink r:id="rId41" w:history="1">
        <w:r w:rsidRPr="0027216C">
          <w:rPr>
            <w:rStyle w:val="Hyperlink"/>
            <w:rFonts w:cs="Segoe UI"/>
            <w:szCs w:val="20"/>
            <w:lang w:val="de-DE"/>
          </w:rPr>
          <w:t>https://register.awmf.org/assets/guidelines/065-003l_S3_Diagnostik-Therapie-Nachsorge-periphere-arterielle-Verschlusskrankheit_2024-11_2.pdf</w:t>
        </w:r>
      </w:hyperlink>
      <w:r w:rsidRPr="0027216C">
        <w:rPr>
          <w:lang w:val="de-DE"/>
        </w:rPr>
        <w:t xml:space="preserve"> [Zugriff am 26.05.2025]</w:t>
      </w:r>
    </w:p>
    <w:p w14:paraId="71A36891" w14:textId="5D46055B" w:rsidR="0009492A" w:rsidRPr="0027216C" w:rsidRDefault="0009492A" w:rsidP="0009492A">
      <w:pPr>
        <w:pStyle w:val="Literatur"/>
        <w:rPr>
          <w:lang w:val="de-DE"/>
        </w:rPr>
      </w:pPr>
      <w:r>
        <w:rPr>
          <w:lang w:val="de-DE"/>
        </w:rPr>
        <w:t xml:space="preserve">AWMF (2025). </w:t>
      </w:r>
      <w:r w:rsidRPr="0009492A">
        <w:rPr>
          <w:lang w:val="de-DE"/>
        </w:rPr>
        <w:t>AWMF-Regelwerk „Leitlinien“. Auflage 2.2 2025.</w:t>
      </w:r>
      <w:r>
        <w:rPr>
          <w:lang w:val="de-DE"/>
        </w:rPr>
        <w:t xml:space="preserve"> </w:t>
      </w:r>
      <w:hyperlink r:id="rId42" w:history="1">
        <w:r w:rsidRPr="00175817">
          <w:rPr>
            <w:rStyle w:val="Hyperlink"/>
            <w:lang w:val="de-DE"/>
          </w:rPr>
          <w:t>https://www.awmf.org/regelwerk</w:t>
        </w:r>
      </w:hyperlink>
      <w:r>
        <w:rPr>
          <w:lang w:val="de-DE"/>
        </w:rPr>
        <w:t xml:space="preserve"> [Zugriff am 03.10.2025]</w:t>
      </w:r>
    </w:p>
    <w:p w14:paraId="6F5947DE" w14:textId="77777777" w:rsidR="007E3FAA" w:rsidRPr="0027216C" w:rsidRDefault="00A42038" w:rsidP="00153C32">
      <w:pPr>
        <w:pStyle w:val="Literatur"/>
      </w:pPr>
      <w:r w:rsidRPr="0027216C">
        <w:rPr>
          <w:lang w:val="de-DE"/>
        </w:rPr>
        <w:t xml:space="preserve">BMASGK (2019): Methode zur Erstellung von Qualitätsstandards (Methodenhandbuch, Version 2.0) [online]. </w:t>
      </w:r>
      <w:hyperlink r:id="rId43" w:history="1">
        <w:r w:rsidRPr="0027216C">
          <w:rPr>
            <w:rStyle w:val="Hyperlink"/>
            <w:rFonts w:cs="Segoe UI"/>
            <w:szCs w:val="20"/>
            <w:lang w:val="de-DE"/>
          </w:rPr>
          <w:t>https://www.sozialministerium.at/Themen/Gesundheit/Gesundheitssystem/Gesundheitssystem-und-Qualitaetssicherung/Qualitaetsstandards/Qualitaetsstandards-gemaess-Gesundheitsqualitaetsgesetz.html</w:t>
        </w:r>
      </w:hyperlink>
      <w:r w:rsidRPr="0027216C">
        <w:rPr>
          <w:lang w:val="de-DE"/>
        </w:rPr>
        <w:t xml:space="preserve"> [Zugriff am 12.4.2022]</w:t>
      </w:r>
    </w:p>
    <w:p w14:paraId="48C6933A" w14:textId="77777777" w:rsidR="00DF50FA" w:rsidRPr="0027216C" w:rsidRDefault="00DF50FA" w:rsidP="00153C32">
      <w:pPr>
        <w:pStyle w:val="Literatur"/>
        <w:rPr>
          <w:lang w:val="de-DE"/>
        </w:rPr>
      </w:pPr>
      <w:r w:rsidRPr="0027216C">
        <w:rPr>
          <w:lang w:val="de-DE"/>
        </w:rPr>
        <w:t xml:space="preserve">BMSGPK (2022): Kurzübersicht zur Vorbereitung des Qualitätsstandards Management chronischer Wunden [online]. </w:t>
      </w:r>
      <w:hyperlink r:id="rId44" w:history="1">
        <w:r w:rsidRPr="0027216C">
          <w:rPr>
            <w:rStyle w:val="Hyperlink"/>
            <w:rFonts w:cs="Segoe UI"/>
            <w:szCs w:val="20"/>
            <w:lang w:val="de-DE"/>
          </w:rPr>
          <w:t>https://goeg.at/Qualitaetsstandard</w:t>
        </w:r>
      </w:hyperlink>
    </w:p>
    <w:p w14:paraId="4F2705F6" w14:textId="56FA6969" w:rsidR="007E3FAA" w:rsidRPr="0027216C" w:rsidRDefault="00DF50FA" w:rsidP="00153C32">
      <w:pPr>
        <w:pStyle w:val="Literatur"/>
        <w:rPr>
          <w:lang w:val="de-DE"/>
        </w:rPr>
      </w:pPr>
      <w:r w:rsidRPr="0027216C">
        <w:rPr>
          <w:lang w:val="de-DE"/>
        </w:rPr>
        <w:t xml:space="preserve">BMSGPK </w:t>
      </w:r>
      <w:r w:rsidR="00A42038" w:rsidRPr="0027216C">
        <w:rPr>
          <w:lang w:val="de-DE"/>
        </w:rPr>
        <w:t>(20</w:t>
      </w:r>
      <w:r w:rsidR="00A42038" w:rsidRPr="0027216C">
        <w:t>24</w:t>
      </w:r>
      <w:r w:rsidR="00767A94" w:rsidRPr="0027216C">
        <w:t>a</w:t>
      </w:r>
      <w:r w:rsidR="00A42038" w:rsidRPr="0027216C">
        <w:rPr>
          <w:lang w:val="de-DE"/>
        </w:rPr>
        <w:t xml:space="preserve">): Methode zur Erstellung von Qualitätsstandards (Methodenhandbuch, Version </w:t>
      </w:r>
      <w:r w:rsidR="00A42038" w:rsidRPr="0027216C">
        <w:t>3.0</w:t>
      </w:r>
      <w:r w:rsidR="00A42038" w:rsidRPr="0027216C">
        <w:rPr>
          <w:lang w:val="de-DE"/>
        </w:rPr>
        <w:t xml:space="preserve">) [online]. </w:t>
      </w:r>
      <w:hyperlink r:id="rId45" w:history="1">
        <w:r w:rsidR="00A42038" w:rsidRPr="0027216C">
          <w:rPr>
            <w:rStyle w:val="Hyperlink"/>
            <w:rFonts w:cs="Segoe UI"/>
            <w:szCs w:val="20"/>
            <w:lang w:val="de-DE"/>
          </w:rPr>
          <w:t>https://www.sozialministerium.at/Themen/Gesundheit/Gesundheitssystem/Gesundheitssystem-und-Qualitaetssicherung/Qualitaetsstandards/Qualitaetsstandards-gemaess-Gesundheitsqualitaetsgesetz.html</w:t>
        </w:r>
      </w:hyperlink>
      <w:r w:rsidR="00A42038" w:rsidRPr="0027216C">
        <w:rPr>
          <w:lang w:val="de-DE"/>
        </w:rPr>
        <w:t xml:space="preserve"> [Zugriff am 12.</w:t>
      </w:r>
      <w:r w:rsidR="00A42038" w:rsidRPr="0027216C">
        <w:t>9</w:t>
      </w:r>
      <w:r w:rsidR="00A42038" w:rsidRPr="0027216C">
        <w:rPr>
          <w:lang w:val="de-DE"/>
        </w:rPr>
        <w:t>.202</w:t>
      </w:r>
      <w:r w:rsidR="00A42038" w:rsidRPr="0027216C">
        <w:t>4</w:t>
      </w:r>
      <w:r w:rsidR="00A42038" w:rsidRPr="0027216C">
        <w:rPr>
          <w:lang w:val="de-DE"/>
        </w:rPr>
        <w:t>]</w:t>
      </w:r>
    </w:p>
    <w:p w14:paraId="441B4603" w14:textId="33712458" w:rsidR="00767A94" w:rsidRPr="0027216C" w:rsidRDefault="00DF50FA" w:rsidP="00153C32">
      <w:pPr>
        <w:pStyle w:val="Literatur"/>
        <w:rPr>
          <w:lang w:val="en-US"/>
        </w:rPr>
      </w:pPr>
      <w:r w:rsidRPr="0027216C">
        <w:rPr>
          <w:lang w:val="de-DE"/>
        </w:rPr>
        <w:t xml:space="preserve">BMSGPK </w:t>
      </w:r>
      <w:r w:rsidR="00767A94" w:rsidRPr="0027216C">
        <w:rPr>
          <w:lang w:val="de-DE"/>
        </w:rPr>
        <w:t>(20</w:t>
      </w:r>
      <w:r w:rsidR="00767A94" w:rsidRPr="0027216C">
        <w:t>24b</w:t>
      </w:r>
      <w:r w:rsidR="00767A94" w:rsidRPr="0027216C">
        <w:rPr>
          <w:lang w:val="de-DE"/>
        </w:rPr>
        <w:t>): Maßnahmenpaket zur nachhaltigen Sicherstellung und Attraktivierung der Gesundheitsberufe</w:t>
      </w:r>
      <w:r w:rsidR="00760ECE" w:rsidRPr="0027216C">
        <w:rPr>
          <w:lang w:val="de-DE"/>
        </w:rPr>
        <w:t>.</w:t>
      </w:r>
      <w:r w:rsidR="00767A94" w:rsidRPr="0027216C">
        <w:rPr>
          <w:lang w:val="de-DE"/>
        </w:rPr>
        <w:t xml:space="preserve"> </w:t>
      </w:r>
      <w:r w:rsidR="00767A94" w:rsidRPr="0027216C">
        <w:rPr>
          <w:lang w:val="en-US"/>
        </w:rPr>
        <w:t>[</w:t>
      </w:r>
      <w:proofErr w:type="spellStart"/>
      <w:r w:rsidR="00767A94" w:rsidRPr="0027216C">
        <w:rPr>
          <w:lang w:val="en-US"/>
        </w:rPr>
        <w:t>unveröffentlicht</w:t>
      </w:r>
      <w:proofErr w:type="spellEnd"/>
      <w:r w:rsidR="00767A94" w:rsidRPr="0027216C">
        <w:rPr>
          <w:lang w:val="en-US"/>
        </w:rPr>
        <w:t>]</w:t>
      </w:r>
    </w:p>
    <w:p w14:paraId="6EC639DA" w14:textId="487244E6" w:rsidR="00366A95" w:rsidRPr="00595E44" w:rsidRDefault="00366A95" w:rsidP="00153C32">
      <w:pPr>
        <w:pStyle w:val="Literatur"/>
        <w:rPr>
          <w:lang w:val="en-US"/>
        </w:rPr>
      </w:pPr>
      <w:r w:rsidRPr="0027216C">
        <w:rPr>
          <w:lang w:val="en-US"/>
        </w:rPr>
        <w:t xml:space="preserve">Brouwers MC, Kho ME, Browman GP, et al. AGREE II: advancing guideline development, reporting and evaluation in health care. </w:t>
      </w:r>
      <w:r w:rsidRPr="00595E44">
        <w:rPr>
          <w:lang w:val="en-US"/>
        </w:rPr>
        <w:t>CMAJ.</w:t>
      </w:r>
      <w:r w:rsidR="007F4876" w:rsidRPr="00595E44">
        <w:rPr>
          <w:lang w:val="en-US"/>
        </w:rPr>
        <w:t xml:space="preserve"> </w:t>
      </w:r>
      <w:r w:rsidRPr="00595E44">
        <w:rPr>
          <w:lang w:val="en-US"/>
        </w:rPr>
        <w:t>2010;182(18</w:t>
      </w:r>
      <w:proofErr w:type="gramStart"/>
      <w:r w:rsidRPr="00595E44">
        <w:rPr>
          <w:lang w:val="en-US"/>
        </w:rPr>
        <w:t>):E</w:t>
      </w:r>
      <w:proofErr w:type="gramEnd"/>
      <w:r w:rsidRPr="00595E44">
        <w:rPr>
          <w:lang w:val="en-US"/>
        </w:rPr>
        <w:t>839-E842.</w:t>
      </w:r>
      <w:r w:rsidR="00422F90" w:rsidRPr="00595E44">
        <w:rPr>
          <w:lang w:val="en-US"/>
        </w:rPr>
        <w:t xml:space="preserve"> </w:t>
      </w:r>
      <w:hyperlink r:id="rId46" w:history="1">
        <w:r w:rsidR="00422F90" w:rsidRPr="00595E44">
          <w:rPr>
            <w:rStyle w:val="Hyperlink"/>
            <w:lang w:val="en-US"/>
          </w:rPr>
          <w:t>https://www.cmaj.ca/content/182/18/e839</w:t>
        </w:r>
      </w:hyperlink>
      <w:r w:rsidR="00422F90" w:rsidRPr="00595E44">
        <w:rPr>
          <w:lang w:val="en-US"/>
        </w:rPr>
        <w:t xml:space="preserve"> </w:t>
      </w:r>
      <w:r w:rsidRPr="00595E44">
        <w:rPr>
          <w:lang w:val="en-US"/>
        </w:rPr>
        <w:t>[</w:t>
      </w:r>
      <w:proofErr w:type="spellStart"/>
      <w:r w:rsidRPr="00595E44">
        <w:rPr>
          <w:lang w:val="en-US"/>
        </w:rPr>
        <w:t>Zugriff</w:t>
      </w:r>
      <w:proofErr w:type="spellEnd"/>
      <w:r w:rsidRPr="00595E44">
        <w:rPr>
          <w:lang w:val="en-US"/>
        </w:rPr>
        <w:t xml:space="preserve"> am 21.11.2024]</w:t>
      </w:r>
    </w:p>
    <w:p w14:paraId="69EDE9FB" w14:textId="1FDCA582" w:rsidR="007E3FAA" w:rsidRPr="0027216C" w:rsidRDefault="00A42038" w:rsidP="00153C32">
      <w:pPr>
        <w:pStyle w:val="Literatur"/>
        <w:rPr>
          <w:lang w:val="de-DE"/>
        </w:rPr>
      </w:pPr>
      <w:r w:rsidRPr="0027216C">
        <w:rPr>
          <w:lang w:val="en-US"/>
        </w:rPr>
        <w:lastRenderedPageBreak/>
        <w:t xml:space="preserve">Canadian Agency for Drugs and Technologies in Health (2013). Optimal Care of Chronic, Non-Healing, Lower Extremity Wounds: A Review of Clinical Evidence and Guidelines. </w:t>
      </w:r>
      <w:hyperlink r:id="rId47" w:history="1">
        <w:r w:rsidRPr="0027216C">
          <w:rPr>
            <w:rStyle w:val="Hyperlink"/>
            <w:lang w:val="de-DE"/>
          </w:rPr>
          <w:t>https://www.ncbi.nlm.nih.gov/books/NBK195726/pdf/Bookshelf_NBK195726.pdf</w:t>
        </w:r>
      </w:hyperlink>
      <w:r w:rsidRPr="0027216C">
        <w:rPr>
          <w:lang w:val="de-DE"/>
        </w:rPr>
        <w:t xml:space="preserve"> [Letzter Zugriff: 07.10.2024]</w:t>
      </w:r>
    </w:p>
    <w:p w14:paraId="6736392B" w14:textId="31D112C8" w:rsidR="007E3FAA" w:rsidRPr="0027216C" w:rsidRDefault="00A42038" w:rsidP="00153C32">
      <w:pPr>
        <w:pStyle w:val="Literatur"/>
        <w:rPr>
          <w:lang w:val="en-US"/>
        </w:rPr>
      </w:pPr>
      <w:r w:rsidRPr="0027216C">
        <w:rPr>
          <w:lang w:val="en-US"/>
        </w:rPr>
        <w:t xml:space="preserve">Citty SW, Cowan LJ, Wingfield Z, </w:t>
      </w:r>
      <w:proofErr w:type="spellStart"/>
      <w:r w:rsidRPr="0027216C">
        <w:rPr>
          <w:lang w:val="en-US"/>
        </w:rPr>
        <w:t>Stechmiller</w:t>
      </w:r>
      <w:proofErr w:type="spellEnd"/>
      <w:r w:rsidRPr="0027216C">
        <w:rPr>
          <w:lang w:val="en-US"/>
        </w:rPr>
        <w:t xml:space="preserve"> J (2019). Optimizing Nutrition Care for Pressure Injuries in Hospitalized Patients. </w:t>
      </w:r>
      <w:r w:rsidRPr="0027216C">
        <w:rPr>
          <w:i/>
          <w:iCs/>
          <w:lang w:val="en-US"/>
        </w:rPr>
        <w:t>Advances in wound care</w:t>
      </w:r>
      <w:r w:rsidRPr="0027216C">
        <w:rPr>
          <w:lang w:val="en-US"/>
        </w:rPr>
        <w:t>, </w:t>
      </w:r>
      <w:r w:rsidRPr="0027216C">
        <w:rPr>
          <w:i/>
          <w:iCs/>
          <w:lang w:val="en-US"/>
        </w:rPr>
        <w:t>8</w:t>
      </w:r>
      <w:r w:rsidRPr="0027216C">
        <w:rPr>
          <w:lang w:val="en-US"/>
        </w:rPr>
        <w:t xml:space="preserve">(7), 309–322. </w:t>
      </w:r>
      <w:hyperlink r:id="rId48" w:history="1">
        <w:r w:rsidRPr="0027216C">
          <w:rPr>
            <w:rStyle w:val="Hyperlink"/>
            <w:lang w:val="en-US"/>
          </w:rPr>
          <w:t>https://doi.org/10.1089/wound.2018.0925</w:t>
        </w:r>
      </w:hyperlink>
      <w:r w:rsidRPr="0027216C">
        <w:rPr>
          <w:lang w:val="en-US"/>
        </w:rPr>
        <w:t xml:space="preserve"> </w:t>
      </w:r>
      <w:r w:rsidR="00694C91" w:rsidRPr="00AA17C9">
        <w:rPr>
          <w:lang w:val="en-US"/>
        </w:rPr>
        <w:t>[</w:t>
      </w:r>
      <w:proofErr w:type="spellStart"/>
      <w:r w:rsidR="00694C91" w:rsidRPr="00AA17C9">
        <w:rPr>
          <w:lang w:val="en-US"/>
        </w:rPr>
        <w:t>Zugriff</w:t>
      </w:r>
      <w:proofErr w:type="spellEnd"/>
      <w:r w:rsidR="00694C91" w:rsidRPr="00AA17C9">
        <w:rPr>
          <w:lang w:val="en-US"/>
        </w:rPr>
        <w:t xml:space="preserve"> am 21.11.2024]</w:t>
      </w:r>
    </w:p>
    <w:p w14:paraId="6979E30D" w14:textId="1BECFFC3" w:rsidR="007E3FAA" w:rsidRPr="00595E44" w:rsidRDefault="00A42038" w:rsidP="00153C32">
      <w:pPr>
        <w:pStyle w:val="Literatur"/>
        <w:rPr>
          <w:lang w:val="en-US"/>
        </w:rPr>
      </w:pPr>
      <w:proofErr w:type="spellStart"/>
      <w:r w:rsidRPr="0027216C">
        <w:rPr>
          <w:lang w:val="en-US"/>
        </w:rPr>
        <w:t>Clemett</w:t>
      </w:r>
      <w:proofErr w:type="spellEnd"/>
      <w:r w:rsidRPr="0027216C">
        <w:rPr>
          <w:lang w:val="en-US"/>
        </w:rPr>
        <w:t xml:space="preserve"> VJ, Graham T, Woodward S, Grocott P (2024). Effectiveness of interventions to enhance shared decision-making in wound care: A systematic review. </w:t>
      </w:r>
      <w:r w:rsidRPr="00595E44">
        <w:rPr>
          <w:i/>
          <w:iCs/>
          <w:lang w:val="en-US"/>
        </w:rPr>
        <w:t>Journal of clinical nursing</w:t>
      </w:r>
      <w:r w:rsidRPr="00595E44">
        <w:rPr>
          <w:lang w:val="en-US"/>
        </w:rPr>
        <w:t>, </w:t>
      </w:r>
      <w:r w:rsidRPr="00595E44">
        <w:rPr>
          <w:i/>
          <w:iCs/>
          <w:lang w:val="en-US"/>
        </w:rPr>
        <w:t>33</w:t>
      </w:r>
      <w:r w:rsidRPr="00595E44">
        <w:rPr>
          <w:lang w:val="en-US"/>
        </w:rPr>
        <w:t xml:space="preserve">(8), 2813–2828. </w:t>
      </w:r>
      <w:hyperlink r:id="rId49" w:history="1">
        <w:r w:rsidRPr="00595E44">
          <w:rPr>
            <w:rStyle w:val="Hyperlink"/>
            <w:lang w:val="en-US"/>
          </w:rPr>
          <w:t>https://doi.org/10.1111/jocn.17118</w:t>
        </w:r>
      </w:hyperlink>
      <w:r w:rsidRPr="00595E44">
        <w:rPr>
          <w:lang w:val="en-US"/>
        </w:rPr>
        <w:t xml:space="preserve"> </w:t>
      </w:r>
      <w:r w:rsidR="00694C91" w:rsidRPr="00AA17C9">
        <w:rPr>
          <w:lang w:val="en-US"/>
        </w:rPr>
        <w:t>[</w:t>
      </w:r>
      <w:proofErr w:type="spellStart"/>
      <w:r w:rsidR="00694C91" w:rsidRPr="00AA17C9">
        <w:rPr>
          <w:lang w:val="en-US"/>
        </w:rPr>
        <w:t>Zugriff</w:t>
      </w:r>
      <w:proofErr w:type="spellEnd"/>
      <w:r w:rsidR="00694C91" w:rsidRPr="00AA17C9">
        <w:rPr>
          <w:lang w:val="en-US"/>
        </w:rPr>
        <w:t xml:space="preserve"> am 21.11.2024]</w:t>
      </w:r>
    </w:p>
    <w:p w14:paraId="04085699" w14:textId="77777777" w:rsidR="007E3FAA" w:rsidRPr="0027216C" w:rsidRDefault="00A42038" w:rsidP="00153C32">
      <w:pPr>
        <w:pStyle w:val="Literatur"/>
        <w:rPr>
          <w:lang w:val="de-DE"/>
        </w:rPr>
      </w:pPr>
      <w:r w:rsidRPr="0027216C">
        <w:rPr>
          <w:lang w:val="de-DE"/>
        </w:rPr>
        <w:t xml:space="preserve">Deutsche Gesellschaft für Angiologie (2024): S3-Leitlinie zur Diagnostik, Therapie und Nachsorge der pAVK. </w:t>
      </w:r>
      <w:hyperlink r:id="rId50" w:history="1">
        <w:r w:rsidRPr="0027216C">
          <w:rPr>
            <w:rStyle w:val="Hyperlink"/>
            <w:rFonts w:cs="Segoe UI"/>
            <w:szCs w:val="20"/>
            <w:lang w:val="de-DE"/>
          </w:rPr>
          <w:t>https://register.awmf.org/de/leitlinien/detail/065-003</w:t>
        </w:r>
      </w:hyperlink>
    </w:p>
    <w:p w14:paraId="4EEEDC23" w14:textId="77777777" w:rsidR="007E3FAA" w:rsidRPr="0027216C" w:rsidRDefault="00A42038" w:rsidP="00153C32">
      <w:pPr>
        <w:pStyle w:val="Literatur"/>
        <w:rPr>
          <w:lang w:val="de-DE"/>
        </w:rPr>
      </w:pPr>
      <w:r w:rsidRPr="0027216C">
        <w:rPr>
          <w:lang w:val="de-DE"/>
        </w:rPr>
        <w:t xml:space="preserve">De Gruyter (2020): Pschyrembel - Klinisches Wörterbuch, 268. Auflage [online]. </w:t>
      </w:r>
      <w:hyperlink r:id="rId51" w:history="1">
        <w:r w:rsidRPr="0027216C">
          <w:rPr>
            <w:rStyle w:val="Hyperlink"/>
            <w:rFonts w:cs="Segoe UI"/>
            <w:szCs w:val="20"/>
            <w:lang w:val="de-DE"/>
          </w:rPr>
          <w:t>https://www.pschyrembel.de/Chronische%20Wunde/B0S45</w:t>
        </w:r>
      </w:hyperlink>
      <w:r w:rsidRPr="0027216C">
        <w:rPr>
          <w:lang w:val="de-DE"/>
        </w:rPr>
        <w:t xml:space="preserve"> [Zugriff am 08.07.202</w:t>
      </w:r>
      <w:r w:rsidRPr="0027216C">
        <w:t>3</w:t>
      </w:r>
      <w:r w:rsidRPr="0027216C">
        <w:rPr>
          <w:lang w:val="de-DE"/>
        </w:rPr>
        <w:t>]</w:t>
      </w:r>
    </w:p>
    <w:p w14:paraId="3C7FF92A" w14:textId="77777777" w:rsidR="007E3FAA" w:rsidRPr="0027216C" w:rsidRDefault="00A42038" w:rsidP="00153C32">
      <w:pPr>
        <w:pStyle w:val="Literatur"/>
        <w:rPr>
          <w:lang w:val="de-DE"/>
        </w:rPr>
      </w:pPr>
      <w:proofErr w:type="spellStart"/>
      <w:r w:rsidRPr="0027216C">
        <w:rPr>
          <w:lang w:val="de-DE"/>
        </w:rPr>
        <w:t>Dissemond</w:t>
      </w:r>
      <w:proofErr w:type="spellEnd"/>
      <w:r w:rsidRPr="0027216C">
        <w:rPr>
          <w:lang w:val="de-DE"/>
        </w:rPr>
        <w:t xml:space="preserve"> J, </w:t>
      </w:r>
      <w:proofErr w:type="spellStart"/>
      <w:r w:rsidRPr="0027216C">
        <w:rPr>
          <w:lang w:val="de-DE"/>
        </w:rPr>
        <w:t>Bültemann</w:t>
      </w:r>
      <w:proofErr w:type="spellEnd"/>
      <w:r w:rsidRPr="0027216C">
        <w:rPr>
          <w:lang w:val="de-DE"/>
        </w:rPr>
        <w:t xml:space="preserve"> A, Gerber V et al. (2020): Standards für die Diagnostik und Therapie chronischer Wunden [online]. Initiative Chronische Wunden e.V. </w:t>
      </w:r>
      <w:hyperlink r:id="rId52" w:history="1">
        <w:r w:rsidRPr="0027216C">
          <w:rPr>
            <w:rStyle w:val="Hyperlink"/>
            <w:rFonts w:cs="Segoe UI"/>
            <w:szCs w:val="20"/>
            <w:lang w:val="de-DE"/>
          </w:rPr>
          <w:t>https://www.icwunden.de/fileadmin/Fachinfos/Standards/Standards_2020_web.pdf</w:t>
        </w:r>
      </w:hyperlink>
      <w:r w:rsidRPr="0027216C">
        <w:rPr>
          <w:lang w:val="de-DE"/>
        </w:rPr>
        <w:t xml:space="preserve"> [Zugriff am 11.05.2022]</w:t>
      </w:r>
    </w:p>
    <w:p w14:paraId="1334DAEA" w14:textId="7BCAFF5D" w:rsidR="007E3FAA" w:rsidRDefault="004A4C0D" w:rsidP="00153C32">
      <w:pPr>
        <w:pStyle w:val="Literatur"/>
        <w:rPr>
          <w:lang w:val="en-US"/>
        </w:rPr>
      </w:pPr>
      <w:r w:rsidRPr="004A4C0D">
        <w:rPr>
          <w:lang w:val="en-US"/>
        </w:rPr>
        <w:t>EPUAP (2019): Prevention and Treatment of Pressure Ulcers/Injuries: Clinical Practice Guideline [online]. European Pressure Ulcer Advisory Panel.</w:t>
      </w:r>
      <w:r>
        <w:rPr>
          <w:lang w:val="en-US"/>
        </w:rPr>
        <w:t xml:space="preserve"> </w:t>
      </w:r>
      <w:hyperlink r:id="rId53" w:history="1">
        <w:r w:rsidRPr="00AA17C9">
          <w:rPr>
            <w:rStyle w:val="Hyperlink"/>
            <w:lang w:val="en-US"/>
          </w:rPr>
          <w:t>https://internationalguideline.com/s/CPG2019edition-digital-Nov2023version.pdf</w:t>
        </w:r>
      </w:hyperlink>
      <w:r w:rsidRPr="00AA17C9">
        <w:rPr>
          <w:lang w:val="en-US"/>
        </w:rPr>
        <w:t xml:space="preserve"> [</w:t>
      </w:r>
      <w:proofErr w:type="spellStart"/>
      <w:r w:rsidRPr="00AA17C9">
        <w:rPr>
          <w:lang w:val="en-US"/>
        </w:rPr>
        <w:t>Zugriff</w:t>
      </w:r>
      <w:proofErr w:type="spellEnd"/>
      <w:r w:rsidRPr="00AA17C9">
        <w:rPr>
          <w:lang w:val="en-US"/>
        </w:rPr>
        <w:t xml:space="preserve"> am 21.11.2024]</w:t>
      </w:r>
    </w:p>
    <w:p w14:paraId="1D04DA78" w14:textId="77777777" w:rsidR="00D81217" w:rsidRPr="0027216C" w:rsidRDefault="00D81217" w:rsidP="00D81217">
      <w:pPr>
        <w:pStyle w:val="Literatur"/>
        <w:rPr>
          <w:lang w:val="en-US"/>
        </w:rPr>
      </w:pPr>
      <w:r w:rsidRPr="0027216C">
        <w:t xml:space="preserve">Eriksson E, Liu PY, Schultz GS, Martins-Green et al. </w:t>
      </w:r>
      <w:r w:rsidRPr="0027216C">
        <w:rPr>
          <w:lang w:val="en-US"/>
        </w:rPr>
        <w:t xml:space="preserve">(2022). Chronic wounds: Treatment consensus. Wound repair and </w:t>
      </w:r>
      <w:proofErr w:type="gramStart"/>
      <w:r w:rsidRPr="0027216C">
        <w:rPr>
          <w:lang w:val="en-US"/>
        </w:rPr>
        <w:t>regeneration :</w:t>
      </w:r>
      <w:proofErr w:type="gramEnd"/>
      <w:r w:rsidRPr="0027216C">
        <w:rPr>
          <w:lang w:val="en-US"/>
        </w:rPr>
        <w:t xml:space="preserve"> official publication of the Wound Healing Society [and] the European Tissue Repair Society, 30(2), 156–171. </w:t>
      </w:r>
      <w:hyperlink r:id="rId54" w:history="1">
        <w:r w:rsidRPr="0027216C">
          <w:rPr>
            <w:rStyle w:val="Hyperlink"/>
            <w:lang w:val="en-US"/>
          </w:rPr>
          <w:t>https://doi.org/10.1111/wrr.12994</w:t>
        </w:r>
      </w:hyperlink>
      <w:r w:rsidRPr="0027216C">
        <w:rPr>
          <w:lang w:val="en-US"/>
        </w:rPr>
        <w:t xml:space="preserve"> </w:t>
      </w:r>
    </w:p>
    <w:p w14:paraId="5E3DF260" w14:textId="77777777" w:rsidR="00D81217" w:rsidRPr="0027216C" w:rsidRDefault="00D81217" w:rsidP="00D81217">
      <w:pPr>
        <w:pStyle w:val="Literatur"/>
        <w:rPr>
          <w:lang w:val="de-DE"/>
        </w:rPr>
      </w:pPr>
      <w:r w:rsidRPr="0027216C">
        <w:rPr>
          <w:lang w:val="en-AU"/>
        </w:rPr>
        <w:t xml:space="preserve">EWMA, European Wound Management Association (2013): </w:t>
      </w:r>
      <w:proofErr w:type="spellStart"/>
      <w:r w:rsidRPr="0027216C">
        <w:rPr>
          <w:lang w:val="en-AU"/>
        </w:rPr>
        <w:t>Wund</w:t>
      </w:r>
      <w:proofErr w:type="spellEnd"/>
      <w:r w:rsidRPr="0027216C">
        <w:rPr>
          <w:lang w:val="en-AU"/>
        </w:rPr>
        <w:t xml:space="preserve"> Management </w:t>
      </w:r>
      <w:proofErr w:type="spellStart"/>
      <w:r w:rsidRPr="0027216C">
        <w:rPr>
          <w:lang w:val="en-AU"/>
        </w:rPr>
        <w:t>Débridement</w:t>
      </w:r>
      <w:proofErr w:type="spellEnd"/>
      <w:r w:rsidRPr="0027216C">
        <w:rPr>
          <w:lang w:val="en-AU"/>
        </w:rPr>
        <w:t xml:space="preserve"> [online].</w:t>
      </w:r>
      <w:r w:rsidRPr="0027216C">
        <w:rPr>
          <w:lang w:val="en-US"/>
        </w:rPr>
        <w:t xml:space="preserve"> </w:t>
      </w:r>
      <w:hyperlink r:id="rId55" w:history="1">
        <w:r w:rsidRPr="0027216C">
          <w:rPr>
            <w:rStyle w:val="Hyperlink"/>
            <w:rFonts w:cs="Segoe UI"/>
            <w:color w:val="auto"/>
            <w:szCs w:val="20"/>
            <w:lang w:val="de-DE"/>
          </w:rPr>
          <w:t>https://ewma.org/wp-content/uploads/2024/02/EWMA_Debridement__dt_2013.pdf</w:t>
        </w:r>
      </w:hyperlink>
      <w:r w:rsidRPr="0027216C">
        <w:rPr>
          <w:lang w:val="de-DE"/>
        </w:rPr>
        <w:t xml:space="preserve"> [Zugriff am 21.11.2024]</w:t>
      </w:r>
    </w:p>
    <w:p w14:paraId="09884357" w14:textId="77777777" w:rsidR="00D81217" w:rsidRPr="0027216C" w:rsidRDefault="00D81217" w:rsidP="00D81217">
      <w:pPr>
        <w:pStyle w:val="Literatur"/>
        <w:rPr>
          <w:lang w:val="en-US"/>
        </w:rPr>
      </w:pPr>
      <w:r w:rsidRPr="0027216C">
        <w:rPr>
          <w:lang w:val="en-US"/>
        </w:rPr>
        <w:t xml:space="preserve">Falcone M, De Angelis B, Pea F et al. (2021). Challenges in the management of chronic wound infections. Journal of global antimicrobial resistance, 26, 140–147. </w:t>
      </w:r>
      <w:hyperlink r:id="rId56" w:history="1">
        <w:r w:rsidRPr="0027216C">
          <w:rPr>
            <w:rStyle w:val="Hyperlink"/>
            <w:lang w:val="en-US"/>
          </w:rPr>
          <w:t>https://doi.org/10.1016/j.jgar.2021.05.010</w:t>
        </w:r>
      </w:hyperlink>
      <w:r w:rsidRPr="0027216C">
        <w:rPr>
          <w:lang w:val="en-US"/>
        </w:rPr>
        <w:t xml:space="preserve"> </w:t>
      </w:r>
    </w:p>
    <w:p w14:paraId="4B8C1AC0" w14:textId="77777777" w:rsidR="00D81217" w:rsidRPr="0027216C" w:rsidRDefault="00D81217" w:rsidP="00D81217">
      <w:pPr>
        <w:pStyle w:val="Literatur"/>
        <w:rPr>
          <w:lang w:val="en-US"/>
        </w:rPr>
      </w:pPr>
      <w:r w:rsidRPr="0027216C">
        <w:rPr>
          <w:lang w:val="en-US"/>
        </w:rPr>
        <w:t xml:space="preserve">Gaspar S, Peralta M, Marques A, </w:t>
      </w:r>
      <w:proofErr w:type="spellStart"/>
      <w:r w:rsidRPr="0027216C">
        <w:rPr>
          <w:lang w:val="en-US"/>
        </w:rPr>
        <w:t>Budri</w:t>
      </w:r>
      <w:proofErr w:type="spellEnd"/>
      <w:r w:rsidRPr="0027216C">
        <w:rPr>
          <w:lang w:val="en-US"/>
        </w:rPr>
        <w:t xml:space="preserve"> A, Gaspar de Matos M. Effectiveness on hospital-acquired pressure ulcers prevention: a systematic review. Int Wound J. 2019;16(5):1087-1102. doi:10.1111/iwj.13147</w:t>
      </w:r>
    </w:p>
    <w:p w14:paraId="58EB0FCA" w14:textId="77777777" w:rsidR="00D81217" w:rsidRPr="0027216C" w:rsidRDefault="00D81217" w:rsidP="00D81217">
      <w:pPr>
        <w:pStyle w:val="Literatur"/>
        <w:rPr>
          <w:lang w:val="en-US"/>
        </w:rPr>
      </w:pPr>
      <w:r w:rsidRPr="0027216C">
        <w:rPr>
          <w:lang w:val="en-US"/>
        </w:rPr>
        <w:t xml:space="preserve">Gethin G, Probst S, </w:t>
      </w:r>
      <w:proofErr w:type="spellStart"/>
      <w:r w:rsidRPr="0027216C">
        <w:rPr>
          <w:lang w:val="en-US"/>
        </w:rPr>
        <w:t>Stryja</w:t>
      </w:r>
      <w:proofErr w:type="spellEnd"/>
      <w:r w:rsidRPr="0027216C">
        <w:rPr>
          <w:lang w:val="en-US"/>
        </w:rPr>
        <w:t xml:space="preserve"> J., Christiansen N, Price P. (2020). Evidence for person-</w:t>
      </w:r>
      <w:proofErr w:type="spellStart"/>
      <w:r w:rsidRPr="0027216C">
        <w:rPr>
          <w:lang w:val="en-US"/>
        </w:rPr>
        <w:t>centred</w:t>
      </w:r>
      <w:proofErr w:type="spellEnd"/>
      <w:r w:rsidRPr="0027216C">
        <w:rPr>
          <w:lang w:val="en-US"/>
        </w:rPr>
        <w:t xml:space="preserve"> care in chronic wound care: A systematic review and recommendations for practice. Journal of wound care, 29(Sup9b), S1–S22. </w:t>
      </w:r>
      <w:hyperlink r:id="rId57" w:history="1">
        <w:r w:rsidRPr="0027216C">
          <w:rPr>
            <w:rStyle w:val="Hyperlink"/>
            <w:lang w:val="en-US"/>
          </w:rPr>
          <w:t>https://doi.org/10.12968/jowc.2020.29.Sup9b.S1</w:t>
        </w:r>
      </w:hyperlink>
      <w:r w:rsidRPr="0027216C">
        <w:rPr>
          <w:lang w:val="en-US"/>
        </w:rPr>
        <w:t xml:space="preserve"> </w:t>
      </w:r>
    </w:p>
    <w:p w14:paraId="4CC9A2A1" w14:textId="77777777" w:rsidR="00D81217" w:rsidRPr="0027216C" w:rsidRDefault="00D81217" w:rsidP="00D81217">
      <w:pPr>
        <w:pStyle w:val="Literatur"/>
        <w:rPr>
          <w:lang w:val="de-DE"/>
        </w:rPr>
      </w:pPr>
      <w:r w:rsidRPr="0027216C">
        <w:rPr>
          <w:lang w:val="en-AU"/>
        </w:rPr>
        <w:lastRenderedPageBreak/>
        <w:t xml:space="preserve">Guest J, Fuller Graham W, </w:t>
      </w:r>
      <w:proofErr w:type="spellStart"/>
      <w:r w:rsidRPr="0027216C">
        <w:rPr>
          <w:lang w:val="en-AU"/>
        </w:rPr>
        <w:t>Vowden</w:t>
      </w:r>
      <w:proofErr w:type="spellEnd"/>
      <w:r w:rsidRPr="0027216C">
        <w:rPr>
          <w:lang w:val="en-AU"/>
        </w:rPr>
        <w:t xml:space="preserve"> P (2020): Cohort study evaluating the burden of wounds to the UK’s National Health Service in 2017/2018: update from 2012/2013. </w:t>
      </w:r>
      <w:proofErr w:type="gramStart"/>
      <w:r w:rsidRPr="0027216C">
        <w:rPr>
          <w:lang w:val="de-DE"/>
        </w:rPr>
        <w:t>BMJ Open</w:t>
      </w:r>
      <w:proofErr w:type="gramEnd"/>
      <w:r w:rsidRPr="0027216C">
        <w:rPr>
          <w:lang w:val="de-DE"/>
        </w:rPr>
        <w:t xml:space="preserve"> [online]. </w:t>
      </w:r>
      <w:hyperlink r:id="rId58" w:history="1">
        <w:r w:rsidRPr="0027216C">
          <w:rPr>
            <w:rStyle w:val="Hyperlink"/>
            <w:rFonts w:cs="Segoe UI"/>
            <w:szCs w:val="20"/>
            <w:lang w:val="de-DE"/>
          </w:rPr>
          <w:t>https://bmjopen.bmj.com/content/10/12/e045253.long</w:t>
        </w:r>
      </w:hyperlink>
      <w:r w:rsidRPr="0027216C">
        <w:rPr>
          <w:lang w:val="de-DE"/>
        </w:rPr>
        <w:t xml:space="preserve"> [Zugriff am 10.06.2022]</w:t>
      </w:r>
    </w:p>
    <w:p w14:paraId="6E70EA0E" w14:textId="77777777" w:rsidR="00D81217" w:rsidRPr="0027216C" w:rsidRDefault="00D81217" w:rsidP="00D81217">
      <w:pPr>
        <w:pStyle w:val="Literatur"/>
        <w:rPr>
          <w:lang w:val="de-DE"/>
        </w:rPr>
      </w:pPr>
      <w:r w:rsidRPr="0027216C">
        <w:rPr>
          <w:lang w:val="en-US"/>
        </w:rPr>
        <w:t xml:space="preserve">Guest JF, Ayoub N, McIlwraith T, </w:t>
      </w:r>
      <w:proofErr w:type="spellStart"/>
      <w:r w:rsidRPr="0027216C">
        <w:rPr>
          <w:lang w:val="en-US"/>
        </w:rPr>
        <w:t>Uchegbu</w:t>
      </w:r>
      <w:proofErr w:type="spellEnd"/>
      <w:r w:rsidRPr="0027216C">
        <w:rPr>
          <w:lang w:val="en-US"/>
        </w:rPr>
        <w:t xml:space="preserve"> I et al. (2017). Health economic burden that different wound types impose on the UK's National Health Service. </w:t>
      </w:r>
      <w:r w:rsidRPr="0027216C">
        <w:rPr>
          <w:lang w:val="de-DE"/>
        </w:rPr>
        <w:t xml:space="preserve">International </w:t>
      </w:r>
      <w:proofErr w:type="spellStart"/>
      <w:r w:rsidRPr="0027216C">
        <w:rPr>
          <w:lang w:val="de-DE"/>
        </w:rPr>
        <w:t>wound</w:t>
      </w:r>
      <w:proofErr w:type="spellEnd"/>
      <w:r w:rsidRPr="0027216C">
        <w:rPr>
          <w:lang w:val="de-DE"/>
        </w:rPr>
        <w:t xml:space="preserve"> </w:t>
      </w:r>
      <w:proofErr w:type="spellStart"/>
      <w:r w:rsidRPr="0027216C">
        <w:rPr>
          <w:lang w:val="de-DE"/>
        </w:rPr>
        <w:t>journal</w:t>
      </w:r>
      <w:proofErr w:type="spellEnd"/>
      <w:r w:rsidRPr="0027216C">
        <w:rPr>
          <w:lang w:val="de-DE"/>
        </w:rPr>
        <w:t xml:space="preserve">, 14(2), 322–330. </w:t>
      </w:r>
      <w:hyperlink r:id="rId59" w:history="1">
        <w:r w:rsidRPr="0027216C">
          <w:rPr>
            <w:rStyle w:val="Hyperlink"/>
            <w:lang w:val="de-DE"/>
          </w:rPr>
          <w:t>https://doi.org/10.1111/iwj.12603</w:t>
        </w:r>
      </w:hyperlink>
      <w:r w:rsidRPr="0027216C">
        <w:rPr>
          <w:lang w:val="de-DE"/>
        </w:rPr>
        <w:t xml:space="preserve"> </w:t>
      </w:r>
    </w:p>
    <w:p w14:paraId="7CD006AE" w14:textId="77777777" w:rsidR="00D81217" w:rsidRPr="0027216C" w:rsidRDefault="00D81217" w:rsidP="00D81217">
      <w:pPr>
        <w:pStyle w:val="Literatur"/>
        <w:rPr>
          <w:lang w:val="de-DE"/>
        </w:rPr>
      </w:pPr>
      <w:proofErr w:type="spellStart"/>
      <w:r w:rsidRPr="0027216C">
        <w:t>GTelG</w:t>
      </w:r>
      <w:proofErr w:type="spellEnd"/>
      <w:r w:rsidRPr="0027216C">
        <w:t xml:space="preserve">, </w:t>
      </w:r>
      <w:proofErr w:type="spellStart"/>
      <w:r w:rsidRPr="0027216C">
        <w:t>Gesundheitstelematikgesetz</w:t>
      </w:r>
      <w:proofErr w:type="spellEnd"/>
      <w:r w:rsidRPr="0027216C">
        <w:t xml:space="preserve"> (2012): Bundesgesetz betreffend Datensicherheitsmaßnahmen bei der Verarbeitung elektronischer Gesundheitsdaten und genetischer Daten, BGBl. I Nr. 111/2012, </w:t>
      </w:r>
      <w:r w:rsidRPr="0027216C">
        <w:rPr>
          <w:lang w:val="de-DE"/>
        </w:rPr>
        <w:t>in der geltenden Fassung</w:t>
      </w:r>
    </w:p>
    <w:p w14:paraId="539D3B1E" w14:textId="77777777" w:rsidR="00D81217" w:rsidRPr="0027216C" w:rsidRDefault="00D81217" w:rsidP="00D81217">
      <w:pPr>
        <w:pStyle w:val="Literatur"/>
        <w:rPr>
          <w:lang w:val="en-US"/>
        </w:rPr>
      </w:pPr>
      <w:r w:rsidRPr="0027216C">
        <w:rPr>
          <w:lang w:val="de-DE"/>
        </w:rPr>
        <w:t xml:space="preserve">GuKG, Gesundheits- und Krankenpflegegesetz (1997): Bundesgesetz über Gesundheits- und Krankenpflegeberufe (Gesundheits- und Krankenpflegegesetz – GuKG), BGBl. </w:t>
      </w:r>
      <w:r w:rsidRPr="0027216C">
        <w:rPr>
          <w:lang w:val="en-US"/>
        </w:rPr>
        <w:t xml:space="preserve">I Nr. 108/1997, in der </w:t>
      </w:r>
      <w:proofErr w:type="spellStart"/>
      <w:r w:rsidRPr="0027216C">
        <w:rPr>
          <w:lang w:val="en-US"/>
        </w:rPr>
        <w:t>geltenden</w:t>
      </w:r>
      <w:proofErr w:type="spellEnd"/>
      <w:r w:rsidRPr="0027216C">
        <w:rPr>
          <w:lang w:val="en-US"/>
        </w:rPr>
        <w:t xml:space="preserve"> </w:t>
      </w:r>
      <w:proofErr w:type="spellStart"/>
      <w:r w:rsidRPr="0027216C">
        <w:rPr>
          <w:lang w:val="en-US"/>
        </w:rPr>
        <w:t>Fassung</w:t>
      </w:r>
      <w:proofErr w:type="spellEnd"/>
    </w:p>
    <w:p w14:paraId="51F1DC1E" w14:textId="77777777" w:rsidR="00D81217" w:rsidRPr="0027216C" w:rsidRDefault="00D81217" w:rsidP="00D81217">
      <w:pPr>
        <w:pStyle w:val="Literatur"/>
        <w:rPr>
          <w:lang w:val="de-DE"/>
        </w:rPr>
      </w:pPr>
      <w:r w:rsidRPr="0027216C">
        <w:rPr>
          <w:lang w:val="en-US"/>
        </w:rPr>
        <w:t xml:space="preserve">Heyer K, Herberger K, Protz K, </w:t>
      </w:r>
      <w:proofErr w:type="spellStart"/>
      <w:r w:rsidRPr="0027216C">
        <w:rPr>
          <w:lang w:val="en-US"/>
        </w:rPr>
        <w:t>Glaeske</w:t>
      </w:r>
      <w:proofErr w:type="spellEnd"/>
      <w:r w:rsidRPr="0027216C">
        <w:rPr>
          <w:lang w:val="en-US"/>
        </w:rPr>
        <w:t xml:space="preserve"> G, Augustin M (2016): Epidemiology of chronic wounds in Germany: analysis of statutory health insurance data. </w:t>
      </w:r>
      <w:r w:rsidRPr="0027216C">
        <w:rPr>
          <w:lang w:val="de-DE"/>
        </w:rPr>
        <w:t xml:space="preserve">In: </w:t>
      </w:r>
      <w:proofErr w:type="spellStart"/>
      <w:r w:rsidRPr="0027216C">
        <w:rPr>
          <w:lang w:val="de-DE"/>
        </w:rPr>
        <w:t>Wound</w:t>
      </w:r>
      <w:proofErr w:type="spellEnd"/>
      <w:r w:rsidRPr="0027216C">
        <w:rPr>
          <w:lang w:val="de-DE"/>
        </w:rPr>
        <w:t xml:space="preserve"> </w:t>
      </w:r>
      <w:proofErr w:type="spellStart"/>
      <w:r w:rsidRPr="0027216C">
        <w:rPr>
          <w:lang w:val="de-DE"/>
        </w:rPr>
        <w:t>Repair</w:t>
      </w:r>
      <w:proofErr w:type="spellEnd"/>
      <w:r w:rsidRPr="0027216C">
        <w:rPr>
          <w:lang w:val="de-DE"/>
        </w:rPr>
        <w:t xml:space="preserve"> and Regeneration 24/2:434-442</w:t>
      </w:r>
    </w:p>
    <w:p w14:paraId="46964C28" w14:textId="77777777" w:rsidR="00D81217" w:rsidRPr="0027216C" w:rsidRDefault="00D81217" w:rsidP="00D81217">
      <w:pPr>
        <w:pStyle w:val="Literatur"/>
        <w:rPr>
          <w:lang w:val="de-DE"/>
        </w:rPr>
      </w:pPr>
      <w:r w:rsidRPr="0027216C">
        <w:rPr>
          <w:lang w:val="de-DE"/>
        </w:rPr>
        <w:t xml:space="preserve">ICW (Initiative Chronische Wunden) (2023): </w:t>
      </w:r>
      <w:r w:rsidRPr="0027216C">
        <w:t>Diagnostik und Therapie chronischer Wunden: Standards der ICW. Quedlinburg: Initiative Chronische Wunden e. V. </w:t>
      </w:r>
      <w:hyperlink r:id="rId60" w:history="1">
        <w:r w:rsidRPr="0027216C">
          <w:rPr>
            <w:rStyle w:val="Hyperlink"/>
          </w:rPr>
          <w:t>https://www.icwunden.de/wpcontent/uploads/2023/09/230803_Broschuere_Standards_Chronische_Wunden.pdf</w:t>
        </w:r>
      </w:hyperlink>
      <w:r w:rsidRPr="0027216C">
        <w:t xml:space="preserve"> [Zugriff am 26.05.2025]</w:t>
      </w:r>
    </w:p>
    <w:p w14:paraId="0EF46B88" w14:textId="77777777" w:rsidR="00D81217" w:rsidRPr="0027216C" w:rsidRDefault="00D81217" w:rsidP="00D81217">
      <w:pPr>
        <w:pStyle w:val="Literatur"/>
        <w:rPr>
          <w:lang w:val="de-DE"/>
        </w:rPr>
      </w:pPr>
      <w:r w:rsidRPr="0027216C">
        <w:rPr>
          <w:lang w:val="en-US"/>
        </w:rPr>
        <w:t xml:space="preserve">IWGDF. </w:t>
      </w:r>
      <w:r w:rsidRPr="0027216C">
        <w:rPr>
          <w:lang w:val="en-AU"/>
        </w:rPr>
        <w:t xml:space="preserve">(2023). Practical guidelines on the prevention and management of diabetes-related foot disease. </w:t>
      </w:r>
      <w:r w:rsidRPr="0027216C">
        <w:rPr>
          <w:lang w:val="de-DE"/>
        </w:rPr>
        <w:t xml:space="preserve">IWGDF 2023 update. </w:t>
      </w:r>
      <w:hyperlink r:id="rId61" w:history="1">
        <w:r w:rsidRPr="0027216C">
          <w:rPr>
            <w:rStyle w:val="Hyperlink"/>
            <w:rFonts w:cs="Segoe UI"/>
            <w:szCs w:val="20"/>
            <w:lang w:val="de-DE"/>
          </w:rPr>
          <w:t>https://iwgdfguidelines.org/wp-content/uploads/2019/05/IWGDF-Guidelines-2019.pdf</w:t>
        </w:r>
      </w:hyperlink>
      <w:r w:rsidRPr="0027216C">
        <w:rPr>
          <w:lang w:val="de-DE"/>
        </w:rPr>
        <w:t xml:space="preserve"> [Zugriff am 19.12.2023]</w:t>
      </w:r>
    </w:p>
    <w:p w14:paraId="51CE0171" w14:textId="77777777" w:rsidR="00D81217" w:rsidRPr="0027216C" w:rsidRDefault="00D81217" w:rsidP="00D81217">
      <w:pPr>
        <w:pStyle w:val="Literatur"/>
        <w:rPr>
          <w:lang w:val="de-DE"/>
        </w:rPr>
      </w:pPr>
      <w:r w:rsidRPr="0027216C">
        <w:rPr>
          <w:lang w:val="de-DE"/>
        </w:rPr>
        <w:t>Köster I</w:t>
      </w:r>
      <w:r w:rsidRPr="0027216C">
        <w:t>,</w:t>
      </w:r>
      <w:r w:rsidRPr="0027216C">
        <w:rPr>
          <w:lang w:val="de-DE"/>
        </w:rPr>
        <w:t xml:space="preserve"> Schubert I (2015): Epidemiologie und Versorgung von Patienten mit chronischen Wunden. Eine Analyse auf der Basis der Versichertenstichprobe AOK Hessen/KV Hessen [online]. </w:t>
      </w:r>
      <w:proofErr w:type="gramStart"/>
      <w:r w:rsidRPr="0027216C">
        <w:rPr>
          <w:lang w:val="de-DE"/>
        </w:rPr>
        <w:t>PMV Forschungsgruppe</w:t>
      </w:r>
      <w:proofErr w:type="gramEnd"/>
      <w:r w:rsidRPr="0027216C">
        <w:rPr>
          <w:lang w:val="de-DE"/>
        </w:rPr>
        <w:t xml:space="preserve">. </w:t>
      </w:r>
      <w:hyperlink r:id="rId62" w:history="1">
        <w:r w:rsidRPr="0027216C">
          <w:rPr>
            <w:rStyle w:val="Hyperlink"/>
            <w:rFonts w:cs="Segoe UI"/>
            <w:szCs w:val="20"/>
            <w:lang w:val="de-DE"/>
          </w:rPr>
          <w:t>https://www.pmvforschungsgruppe.de/</w:t>
        </w:r>
      </w:hyperlink>
      <w:r w:rsidRPr="0027216C">
        <w:rPr>
          <w:lang w:val="de-DE"/>
        </w:rPr>
        <w:t xml:space="preserve"> [Zugriff am 20.05.2022]</w:t>
      </w:r>
    </w:p>
    <w:p w14:paraId="671A3F5D" w14:textId="77777777" w:rsidR="00D81217" w:rsidRPr="0027216C" w:rsidRDefault="00D81217" w:rsidP="00D81217">
      <w:pPr>
        <w:pStyle w:val="Literatur"/>
        <w:rPr>
          <w:lang w:val="en-US"/>
        </w:rPr>
      </w:pPr>
      <w:r w:rsidRPr="0027216C">
        <w:rPr>
          <w:lang w:val="de-DE"/>
        </w:rPr>
        <w:t xml:space="preserve">Ludwig Boltzmann Forschungsgruppe - Alterung und Wundheilung (2022): Die Versorgung chronischer Wunden durch das österreichische Gesundheitssystem - eine Übersicht [online]. </w:t>
      </w:r>
      <w:hyperlink r:id="rId63" w:anchor=".YvIJDfjP2Uk" w:history="1">
        <w:r w:rsidRPr="0027216C">
          <w:rPr>
            <w:rStyle w:val="Hyperlink"/>
            <w:rFonts w:cs="Segoe UI"/>
            <w:szCs w:val="20"/>
            <w:lang w:val="en-US"/>
          </w:rPr>
          <w:t>https://zenodo.org/record/6572802#.YvIJDfjP2Uk</w:t>
        </w:r>
      </w:hyperlink>
      <w:r w:rsidRPr="0027216C">
        <w:rPr>
          <w:lang w:val="en-US"/>
        </w:rPr>
        <w:t xml:space="preserve"> [</w:t>
      </w:r>
      <w:proofErr w:type="spellStart"/>
      <w:r w:rsidRPr="0027216C">
        <w:rPr>
          <w:lang w:val="en-US"/>
        </w:rPr>
        <w:t>Zugriff</w:t>
      </w:r>
      <w:proofErr w:type="spellEnd"/>
      <w:r w:rsidRPr="0027216C">
        <w:rPr>
          <w:lang w:val="en-US"/>
        </w:rPr>
        <w:t xml:space="preserve"> am 09.08.2022]</w:t>
      </w:r>
    </w:p>
    <w:p w14:paraId="74FDC187" w14:textId="77777777" w:rsidR="00D81217" w:rsidRPr="0027216C" w:rsidRDefault="00D81217" w:rsidP="00D81217">
      <w:pPr>
        <w:pStyle w:val="Literatur"/>
        <w:rPr>
          <w:lang w:val="en-US"/>
        </w:rPr>
      </w:pPr>
      <w:r w:rsidRPr="0027216C">
        <w:rPr>
          <w:lang w:val="en-AU"/>
        </w:rPr>
        <w:t xml:space="preserve">Martinengo L, Olsson M, Bajpai R et al. (2019): Prevalence of chronic wounds in the general population: systematic review and meta-analysis of observational studies. </w:t>
      </w:r>
      <w:r w:rsidRPr="0027216C">
        <w:rPr>
          <w:lang w:val="en-US"/>
        </w:rPr>
        <w:t>In: Annals of epidemiology 29/:8-15</w:t>
      </w:r>
    </w:p>
    <w:p w14:paraId="45F643B7" w14:textId="77777777" w:rsidR="00D81217" w:rsidRPr="0027216C" w:rsidRDefault="00D81217" w:rsidP="00D81217">
      <w:pPr>
        <w:pStyle w:val="Literatur"/>
        <w:rPr>
          <w:lang w:val="en-US"/>
        </w:rPr>
      </w:pPr>
      <w:r w:rsidRPr="0027216C">
        <w:rPr>
          <w:lang w:val="en-US"/>
        </w:rPr>
        <w:t xml:space="preserve">Myint Kyaw B, </w:t>
      </w:r>
      <w:proofErr w:type="spellStart"/>
      <w:r w:rsidRPr="0027216C">
        <w:rPr>
          <w:lang w:val="en-US"/>
        </w:rPr>
        <w:t>Järbrink</w:t>
      </w:r>
      <w:proofErr w:type="spellEnd"/>
      <w:r w:rsidRPr="0027216C">
        <w:rPr>
          <w:lang w:val="en-US"/>
        </w:rPr>
        <w:t xml:space="preserve"> K, Martinengo L, Car J, Harding K, </w:t>
      </w:r>
      <w:proofErr w:type="spellStart"/>
      <w:r w:rsidRPr="0027216C">
        <w:rPr>
          <w:lang w:val="en-US"/>
        </w:rPr>
        <w:t>Schmidtchen</w:t>
      </w:r>
      <w:proofErr w:type="spellEnd"/>
      <w:r w:rsidRPr="0027216C">
        <w:rPr>
          <w:lang w:val="en-US"/>
        </w:rPr>
        <w:t xml:space="preserve"> A (2017). Need for Improved Definition of "Chronic Wounds" in Clinical Studies. Acta Dermato-</w:t>
      </w:r>
      <w:proofErr w:type="spellStart"/>
      <w:r w:rsidRPr="0027216C">
        <w:rPr>
          <w:lang w:val="en-US"/>
        </w:rPr>
        <w:t>Venereologica</w:t>
      </w:r>
      <w:proofErr w:type="spellEnd"/>
      <w:r w:rsidRPr="0027216C">
        <w:rPr>
          <w:lang w:val="en-US"/>
        </w:rPr>
        <w:t xml:space="preserve">, 98(1), 157–158. </w:t>
      </w:r>
      <w:hyperlink r:id="rId64" w:history="1">
        <w:r w:rsidRPr="0027216C">
          <w:rPr>
            <w:rStyle w:val="Hyperlink"/>
            <w:rFonts w:cs="Segoe UI"/>
            <w:szCs w:val="20"/>
            <w:lang w:val="en-US"/>
          </w:rPr>
          <w:t>https://doi.org/10.2340/00015555-2786</w:t>
        </w:r>
      </w:hyperlink>
      <w:r w:rsidRPr="0027216C">
        <w:rPr>
          <w:lang w:val="en-US"/>
        </w:rPr>
        <w:t xml:space="preserve"> </w:t>
      </w:r>
    </w:p>
    <w:p w14:paraId="13909E12" w14:textId="77777777" w:rsidR="00D81217" w:rsidRPr="0027216C" w:rsidRDefault="00D81217" w:rsidP="00D81217">
      <w:pPr>
        <w:pStyle w:val="Literatur"/>
        <w:rPr>
          <w:lang w:val="en-US"/>
        </w:rPr>
      </w:pPr>
      <w:r w:rsidRPr="0027216C">
        <w:rPr>
          <w:lang w:val="en-US"/>
        </w:rPr>
        <w:t xml:space="preserve">O'Connor T, Moore ZEH, Patton D. Patient and lay carer education for preventing pressure ulceration in at‐risk populations. Cochrane Database of Systematic Reviews 2021, Issue 2. Art. No.: CD012006. DOI: 10.1002/14651858.CD012006.pub2. </w:t>
      </w:r>
    </w:p>
    <w:p w14:paraId="2E0CE32B" w14:textId="77777777" w:rsidR="00D81217" w:rsidRPr="0027216C" w:rsidRDefault="00D81217" w:rsidP="00D81217">
      <w:pPr>
        <w:pStyle w:val="Literatur"/>
        <w:rPr>
          <w:lang w:val="de-DE"/>
        </w:rPr>
      </w:pPr>
      <w:r w:rsidRPr="0027216C">
        <w:lastRenderedPageBreak/>
        <w:t xml:space="preserve">Oberösterreichischer Gesundheitsfond und </w:t>
      </w:r>
      <w:proofErr w:type="gramStart"/>
      <w:r w:rsidRPr="0027216C">
        <w:t>Österreichische</w:t>
      </w:r>
      <w:proofErr w:type="gramEnd"/>
      <w:r w:rsidRPr="0027216C">
        <w:t xml:space="preserve"> Gesundheitskasse (2021). Versorgungsstufen für chronische Hautwunden in Oberösterreich, Versorgung chronischer Wundpatient - SOLL-Prozess (unveröffentlicht)</w:t>
      </w:r>
    </w:p>
    <w:p w14:paraId="3F73BF2A" w14:textId="77777777" w:rsidR="00D81217" w:rsidRPr="0027216C" w:rsidRDefault="00D81217" w:rsidP="00D81217">
      <w:pPr>
        <w:pStyle w:val="Literatur"/>
        <w:rPr>
          <w:lang w:val="de-DE"/>
        </w:rPr>
      </w:pPr>
      <w:r w:rsidRPr="0027216C">
        <w:rPr>
          <w:lang w:val="de-DE"/>
        </w:rPr>
        <w:t xml:space="preserve">Österreichische Diabetes Gesellschaft (ÖDG) (2023). Diabetes mellitus – Anleitungen für die Praxis Überarbeitete und erweiterte Fassung 2023 </w:t>
      </w:r>
      <w:hyperlink r:id="rId65" w:history="1">
        <w:r w:rsidRPr="0027216C">
          <w:rPr>
            <w:rStyle w:val="Hyperlink"/>
            <w:rFonts w:cs="Segoe UI"/>
            <w:szCs w:val="20"/>
          </w:rPr>
          <w:t>https://www.oedg.at/pdf/OEDG-Leitlinien-2023-HighRes.pdf</w:t>
        </w:r>
      </w:hyperlink>
      <w:r w:rsidRPr="0027216C">
        <w:t xml:space="preserve"> </w:t>
      </w:r>
      <w:r w:rsidRPr="0027216C">
        <w:rPr>
          <w:lang w:val="de-DE"/>
        </w:rPr>
        <w:t>[Zugriff am 10.08.2024]</w:t>
      </w:r>
    </w:p>
    <w:p w14:paraId="5679803A" w14:textId="77777777" w:rsidR="00D81217" w:rsidRPr="0027216C" w:rsidRDefault="00D81217" w:rsidP="00D81217">
      <w:pPr>
        <w:pStyle w:val="Literatur"/>
        <w:rPr>
          <w:lang w:val="de-DE"/>
        </w:rPr>
      </w:pPr>
      <w:r w:rsidRPr="0027216C">
        <w:rPr>
          <w:lang w:val="de-DE"/>
        </w:rPr>
        <w:t xml:space="preserve">ÖGDC Chronische Wunden [online]. Österreichische Gesellschaft für </w:t>
      </w:r>
      <w:proofErr w:type="spellStart"/>
      <w:r w:rsidRPr="0027216C">
        <w:rPr>
          <w:lang w:val="de-DE"/>
        </w:rPr>
        <w:t>Dermatochirurgie</w:t>
      </w:r>
      <w:proofErr w:type="spellEnd"/>
      <w:r w:rsidRPr="0027216C">
        <w:rPr>
          <w:lang w:val="de-DE"/>
        </w:rPr>
        <w:t xml:space="preserve">. </w:t>
      </w:r>
      <w:hyperlink r:id="rId66" w:history="1">
        <w:r w:rsidRPr="0027216C">
          <w:rPr>
            <w:rStyle w:val="Hyperlink"/>
            <w:rFonts w:cs="Segoe UI"/>
            <w:szCs w:val="20"/>
            <w:lang w:val="de-DE"/>
          </w:rPr>
          <w:t>http://www.oegdc.at/pat_chronische_wunden.html</w:t>
        </w:r>
      </w:hyperlink>
      <w:r w:rsidRPr="0027216C">
        <w:rPr>
          <w:lang w:val="de-DE"/>
        </w:rPr>
        <w:t xml:space="preserve"> [Zugriff am 10.08.2022]</w:t>
      </w:r>
    </w:p>
    <w:p w14:paraId="0E392656" w14:textId="77777777" w:rsidR="00D81217" w:rsidRPr="0027216C" w:rsidRDefault="00D81217" w:rsidP="00D81217">
      <w:pPr>
        <w:pStyle w:val="Literatur"/>
        <w:rPr>
          <w:lang w:val="de-DE"/>
        </w:rPr>
      </w:pPr>
      <w:r w:rsidRPr="0027216C">
        <w:rPr>
          <w:lang w:val="de-DE"/>
        </w:rPr>
        <w:t xml:space="preserve">Olsson M, </w:t>
      </w:r>
      <w:proofErr w:type="spellStart"/>
      <w:r w:rsidRPr="0027216C">
        <w:rPr>
          <w:lang w:val="de-DE"/>
        </w:rPr>
        <w:t>Järbrink</w:t>
      </w:r>
      <w:proofErr w:type="spellEnd"/>
      <w:r w:rsidRPr="0027216C">
        <w:rPr>
          <w:lang w:val="de-DE"/>
        </w:rPr>
        <w:t xml:space="preserve"> K, </w:t>
      </w:r>
      <w:proofErr w:type="spellStart"/>
      <w:r w:rsidRPr="0027216C">
        <w:rPr>
          <w:lang w:val="de-DE"/>
        </w:rPr>
        <w:t>Divakar</w:t>
      </w:r>
      <w:proofErr w:type="spellEnd"/>
      <w:r w:rsidRPr="0027216C">
        <w:rPr>
          <w:lang w:val="de-DE"/>
        </w:rPr>
        <w:t xml:space="preserve"> U et al. </w:t>
      </w:r>
      <w:r w:rsidRPr="0027216C">
        <w:rPr>
          <w:lang w:val="en-AU"/>
        </w:rPr>
        <w:t xml:space="preserve">(2019): The humanistic and economic burden of chronic wounds: A systematic review. </w:t>
      </w:r>
      <w:r w:rsidRPr="0027216C">
        <w:rPr>
          <w:lang w:val="de-DE"/>
        </w:rPr>
        <w:t xml:space="preserve">In: </w:t>
      </w:r>
      <w:proofErr w:type="spellStart"/>
      <w:r w:rsidRPr="0027216C">
        <w:rPr>
          <w:lang w:val="de-DE"/>
        </w:rPr>
        <w:t>Wound</w:t>
      </w:r>
      <w:proofErr w:type="spellEnd"/>
      <w:r w:rsidRPr="0027216C">
        <w:rPr>
          <w:lang w:val="de-DE"/>
        </w:rPr>
        <w:t xml:space="preserve"> </w:t>
      </w:r>
      <w:proofErr w:type="spellStart"/>
      <w:r w:rsidRPr="0027216C">
        <w:rPr>
          <w:lang w:val="de-DE"/>
        </w:rPr>
        <w:t>Repair</w:t>
      </w:r>
      <w:proofErr w:type="spellEnd"/>
      <w:r w:rsidRPr="0027216C">
        <w:rPr>
          <w:lang w:val="de-DE"/>
        </w:rPr>
        <w:t xml:space="preserve"> Regeneration 27/1:114-125</w:t>
      </w:r>
    </w:p>
    <w:p w14:paraId="41806EFC" w14:textId="77777777" w:rsidR="00D81217" w:rsidRPr="0027216C" w:rsidRDefault="00D81217" w:rsidP="00D81217">
      <w:pPr>
        <w:pStyle w:val="Literatur"/>
        <w:rPr>
          <w:lang w:val="de-DE"/>
        </w:rPr>
      </w:pPr>
      <w:r w:rsidRPr="0027216C">
        <w:rPr>
          <w:lang w:val="de-DE"/>
        </w:rPr>
        <w:t xml:space="preserve">ÖSG, </w:t>
      </w:r>
      <w:proofErr w:type="gramStart"/>
      <w:r w:rsidRPr="0027216C">
        <w:rPr>
          <w:lang w:val="de-DE"/>
        </w:rPr>
        <w:t>Österreichischer</w:t>
      </w:r>
      <w:proofErr w:type="gramEnd"/>
      <w:r w:rsidRPr="0027216C">
        <w:rPr>
          <w:lang w:val="de-DE"/>
        </w:rPr>
        <w:t xml:space="preserve"> Strukturplan Gesundheit (2023): ÖSG [online]. BMSGPK (Bundesministerium für Soziales, Gesundheit, Pflege und Konsumentenschutz). </w:t>
      </w:r>
      <w:hyperlink r:id="rId67" w:history="1">
        <w:r w:rsidRPr="0027216C">
          <w:rPr>
            <w:rStyle w:val="Hyperlink"/>
            <w:rFonts w:cs="Segoe UI"/>
            <w:szCs w:val="20"/>
            <w:lang w:val="de-DE"/>
          </w:rPr>
          <w:t>https://www.sozialministerium.at/Themen/Gesundheit/Gesundheitssystem/Gesundheitssystem-und-Qualitaetssicherung/Planung-und-spezielle-Versorgungsbereiche/Der-%C3%96sterreichische-Strukturplan-Gesundheit-%E2%80%93-%C3%96SG.html</w:t>
        </w:r>
      </w:hyperlink>
      <w:r w:rsidRPr="0027216C">
        <w:rPr>
          <w:lang w:val="de-DE"/>
        </w:rPr>
        <w:t xml:space="preserve"> [Zugriff am 07.10.2024]</w:t>
      </w:r>
    </w:p>
    <w:p w14:paraId="1D7DCDDE" w14:textId="24B3AEB9" w:rsidR="00794E7A" w:rsidRPr="00AA17C9" w:rsidRDefault="00324D07" w:rsidP="00153C32">
      <w:pPr>
        <w:pStyle w:val="Literatur"/>
        <w:rPr>
          <w:lang w:val="de-DE"/>
        </w:rPr>
      </w:pPr>
      <w:r w:rsidRPr="0027216C">
        <w:rPr>
          <w:lang w:val="en-US"/>
        </w:rPr>
        <w:t xml:space="preserve">Patel, S. K., &amp; Surowiec, S. M. (2024): Venous Insufficiency. </w:t>
      </w:r>
      <w:r w:rsidRPr="00AA17C9">
        <w:rPr>
          <w:lang w:val="de-DE"/>
        </w:rPr>
        <w:t>In </w:t>
      </w:r>
      <w:proofErr w:type="spellStart"/>
      <w:r w:rsidRPr="00AA17C9">
        <w:rPr>
          <w:i/>
          <w:iCs/>
          <w:lang w:val="de-DE"/>
        </w:rPr>
        <w:t>StatPearls</w:t>
      </w:r>
      <w:proofErr w:type="spellEnd"/>
      <w:r w:rsidRPr="00AA17C9">
        <w:rPr>
          <w:lang w:val="de-DE"/>
        </w:rPr>
        <w:t xml:space="preserve">. </w:t>
      </w:r>
      <w:proofErr w:type="spellStart"/>
      <w:r w:rsidRPr="00AA17C9">
        <w:rPr>
          <w:lang w:val="de-DE"/>
        </w:rPr>
        <w:t>StatPearls</w:t>
      </w:r>
      <w:proofErr w:type="spellEnd"/>
      <w:r w:rsidRPr="00AA17C9">
        <w:rPr>
          <w:lang w:val="de-DE"/>
        </w:rPr>
        <w:t xml:space="preserve"> Publishing.</w:t>
      </w:r>
    </w:p>
    <w:p w14:paraId="6DBEF50F" w14:textId="153D247C" w:rsidR="007E3FAA" w:rsidRPr="0027216C" w:rsidRDefault="00A42038" w:rsidP="00153C32">
      <w:pPr>
        <w:pStyle w:val="Literatur"/>
        <w:rPr>
          <w:lang w:val="de-DE"/>
        </w:rPr>
      </w:pPr>
      <w:r w:rsidRPr="0027216C">
        <w:rPr>
          <w:lang w:val="de-DE"/>
        </w:rPr>
        <w:t xml:space="preserve">RIS, Rechtsinformationssystem des Bundes (2012): </w:t>
      </w:r>
      <w:r w:rsidR="00767A94" w:rsidRPr="0027216C">
        <w:t>Bundesgesetz betreffend Datensicherheitsmaßnahmen bei der Verarbeitung elektronischer Gesundheitsdaten und genetischer Daten (</w:t>
      </w:r>
      <w:proofErr w:type="spellStart"/>
      <w:r w:rsidR="00767A94" w:rsidRPr="0027216C">
        <w:t>Gesundheitstelematikgesetz</w:t>
      </w:r>
      <w:proofErr w:type="spellEnd"/>
      <w:r w:rsidR="00767A94" w:rsidRPr="0027216C">
        <w:t xml:space="preserve"> 2012), in der gültigen Fassung</w:t>
      </w:r>
      <w:r w:rsidR="00767A94" w:rsidRPr="0027216C">
        <w:rPr>
          <w:lang w:val="de-DE"/>
        </w:rPr>
        <w:t xml:space="preserve"> </w:t>
      </w:r>
      <w:hyperlink r:id="rId68" w:history="1">
        <w:r w:rsidR="00D771A2" w:rsidRPr="0023616D">
          <w:rPr>
            <w:rStyle w:val="Hyperlink"/>
            <w:rFonts w:cs="Segoe UI"/>
            <w:szCs w:val="20"/>
            <w:lang w:val="de-DE"/>
          </w:rPr>
          <w:t>https://www.ris.bka.gv.at/GeltendeFassung.wxe?Abfrage=Bundesnormen&amp;Gesetzesnummer=20008120</w:t>
        </w:r>
      </w:hyperlink>
      <w:r w:rsidRPr="0027216C">
        <w:rPr>
          <w:lang w:val="de-DE"/>
        </w:rPr>
        <w:t xml:space="preserve"> [Zugriff am </w:t>
      </w:r>
      <w:r w:rsidR="00767A94" w:rsidRPr="0027216C">
        <w:rPr>
          <w:lang w:val="de-DE"/>
        </w:rPr>
        <w:t>10</w:t>
      </w:r>
      <w:r w:rsidRPr="0027216C">
        <w:rPr>
          <w:lang w:val="de-DE"/>
        </w:rPr>
        <w:t>.</w:t>
      </w:r>
      <w:r w:rsidR="00767A94" w:rsidRPr="0027216C">
        <w:rPr>
          <w:lang w:val="de-DE"/>
        </w:rPr>
        <w:t>12</w:t>
      </w:r>
      <w:r w:rsidRPr="0027216C">
        <w:rPr>
          <w:lang w:val="de-DE"/>
        </w:rPr>
        <w:t>.202</w:t>
      </w:r>
      <w:r w:rsidR="00767A94" w:rsidRPr="0027216C">
        <w:rPr>
          <w:lang w:val="de-DE"/>
        </w:rPr>
        <w:t>4</w:t>
      </w:r>
      <w:r w:rsidRPr="0027216C">
        <w:rPr>
          <w:lang w:val="de-DE"/>
        </w:rPr>
        <w:t>]</w:t>
      </w:r>
    </w:p>
    <w:p w14:paraId="3240BAE5" w14:textId="2E306C82" w:rsidR="006319D5" w:rsidRPr="0027216C" w:rsidRDefault="006319D5" w:rsidP="00153C32">
      <w:pPr>
        <w:pStyle w:val="Literatur"/>
        <w:rPr>
          <w:lang w:val="de-DE"/>
        </w:rPr>
      </w:pPr>
      <w:r w:rsidRPr="0027216C">
        <w:rPr>
          <w:lang w:val="de-DE"/>
        </w:rPr>
        <w:t xml:space="preserve">RÖV (Richtlinien über die ökonomische </w:t>
      </w:r>
      <w:proofErr w:type="spellStart"/>
      <w:r w:rsidRPr="0027216C">
        <w:rPr>
          <w:lang w:val="de-DE"/>
        </w:rPr>
        <w:t>Verschreibweise</w:t>
      </w:r>
      <w:proofErr w:type="spellEnd"/>
      <w:r w:rsidRPr="0027216C">
        <w:rPr>
          <w:lang w:val="de-DE"/>
        </w:rPr>
        <w:t xml:space="preserve"> von Heilmitteln und Heilbehelfen) (2024), </w:t>
      </w:r>
      <w:proofErr w:type="spellStart"/>
      <w:r w:rsidRPr="0027216C">
        <w:rPr>
          <w:lang w:val="de-DE"/>
        </w:rPr>
        <w:t>avsv</w:t>
      </w:r>
      <w:proofErr w:type="spellEnd"/>
      <w:r w:rsidRPr="0027216C">
        <w:rPr>
          <w:lang w:val="de-DE"/>
        </w:rPr>
        <w:t xml:space="preserve"> Nr. 85/2023, in der geltenden Fassung </w:t>
      </w:r>
    </w:p>
    <w:p w14:paraId="51CC272D" w14:textId="77777777" w:rsidR="007E3FAA" w:rsidRPr="0027216C" w:rsidRDefault="00A42038" w:rsidP="00153C32">
      <w:pPr>
        <w:pStyle w:val="Literatur"/>
        <w:rPr>
          <w:lang w:val="de-DE"/>
        </w:rPr>
      </w:pPr>
      <w:r w:rsidRPr="0027216C">
        <w:rPr>
          <w:lang w:val="en-US"/>
        </w:rPr>
        <w:t xml:space="preserve">Ryan H, Post H (2022). The shared wound care continuum: factors that influence a patient’s preference and suitability for shared wound care. </w:t>
      </w:r>
      <w:proofErr w:type="spellStart"/>
      <w:r w:rsidRPr="0027216C">
        <w:rPr>
          <w:lang w:val="de-DE"/>
        </w:rPr>
        <w:t>Wounds</w:t>
      </w:r>
      <w:proofErr w:type="spellEnd"/>
      <w:r w:rsidRPr="0027216C">
        <w:rPr>
          <w:lang w:val="de-DE"/>
        </w:rPr>
        <w:t xml:space="preserve"> International 2022, 13(4), 54-60.</w:t>
      </w:r>
    </w:p>
    <w:p w14:paraId="0F510E9B" w14:textId="0C568A09" w:rsidR="008B6261" w:rsidRPr="0027216C" w:rsidRDefault="008B6261" w:rsidP="00153C32">
      <w:pPr>
        <w:pStyle w:val="Literatur"/>
        <w:rPr>
          <w:lang w:val="de-DE"/>
        </w:rPr>
      </w:pPr>
      <w:proofErr w:type="spellStart"/>
      <w:r w:rsidRPr="0027216C">
        <w:rPr>
          <w:lang w:val="de-DE"/>
        </w:rPr>
        <w:t>SAfW</w:t>
      </w:r>
      <w:proofErr w:type="spellEnd"/>
      <w:r w:rsidRPr="0027216C">
        <w:rPr>
          <w:lang w:val="de-DE"/>
        </w:rPr>
        <w:t xml:space="preserve"> (Schweizerische Gesellschaft für Wundbehandlung) (2025): Anforderungskatalog zur Anerkennung von Wundambulatorien als Teil eines Wundzentrums. </w:t>
      </w:r>
      <w:hyperlink r:id="rId69" w:history="1">
        <w:r w:rsidRPr="0027216C">
          <w:rPr>
            <w:rStyle w:val="Hyperlink"/>
            <w:rFonts w:cs="Segoe UI"/>
            <w:szCs w:val="20"/>
            <w:lang w:val="de-DE"/>
          </w:rPr>
          <w:t>https://safw.ch/images/pdf/2.11%20SAfW_Anerkennung%20Wundzentren_Anforderungskatalog_2025.pdf</w:t>
        </w:r>
      </w:hyperlink>
      <w:r w:rsidRPr="0027216C">
        <w:rPr>
          <w:lang w:val="de-DE"/>
        </w:rPr>
        <w:t xml:space="preserve"> [Zugriff am 01.08.2025]</w:t>
      </w:r>
    </w:p>
    <w:p w14:paraId="6505D80A" w14:textId="77583E0A" w:rsidR="007E3FAA" w:rsidRPr="0027216C" w:rsidRDefault="00A42038" w:rsidP="00153C32">
      <w:pPr>
        <w:pStyle w:val="Literatur"/>
        <w:rPr>
          <w:lang w:val="de-DE"/>
        </w:rPr>
      </w:pPr>
      <w:r w:rsidRPr="0027216C">
        <w:rPr>
          <w:lang w:val="de-DE"/>
        </w:rPr>
        <w:t xml:space="preserve">Springer Medizin (2015a): Chronische venöse Insuffizienz [online]. DGIM Innere Medizin. </w:t>
      </w:r>
      <w:hyperlink r:id="rId70" w:history="1">
        <w:r w:rsidRPr="0027216C">
          <w:rPr>
            <w:rStyle w:val="Hyperlink"/>
            <w:rFonts w:cs="Segoe UI"/>
            <w:szCs w:val="20"/>
            <w:lang w:val="de-DE"/>
          </w:rPr>
          <w:t>https://www.springermedizin.de/emedpedia/dgim-innere-medizin/chronische-venoese-insuffizienz?epediaDoi=10.1007%2F978-3-642-54676-1_353</w:t>
        </w:r>
      </w:hyperlink>
      <w:r w:rsidRPr="0027216C">
        <w:rPr>
          <w:lang w:val="de-DE"/>
        </w:rPr>
        <w:t xml:space="preserve"> [Zugriff am 09.08.2022]</w:t>
      </w:r>
    </w:p>
    <w:p w14:paraId="4A91A3AE" w14:textId="3BED2ABD" w:rsidR="006E1CC8" w:rsidRPr="00634C62" w:rsidRDefault="006E1CC8" w:rsidP="00153C32">
      <w:pPr>
        <w:pStyle w:val="Literatur"/>
        <w:rPr>
          <w:lang w:val="de-DE"/>
        </w:rPr>
      </w:pPr>
      <w:r w:rsidRPr="0027216C">
        <w:rPr>
          <w:lang w:val="en-US"/>
        </w:rPr>
        <w:t xml:space="preserve">Stallard Y. (2018). When and How to Perform Cultures on Chronic </w:t>
      </w:r>
      <w:proofErr w:type="gramStart"/>
      <w:r w:rsidRPr="0027216C">
        <w:rPr>
          <w:lang w:val="en-US"/>
        </w:rPr>
        <w:t>Wounds?.</w:t>
      </w:r>
      <w:proofErr w:type="gramEnd"/>
      <w:r w:rsidRPr="0027216C">
        <w:rPr>
          <w:lang w:val="en-US"/>
        </w:rPr>
        <w:t xml:space="preserve"> Journal of wound, ostomy, and continence nursing: official publication of The Wound, Ostomy and Continence Nurses Society, 45(2), 179–186. </w:t>
      </w:r>
      <w:hyperlink r:id="rId71" w:history="1">
        <w:r w:rsidR="00F62E4F" w:rsidRPr="00634C62">
          <w:rPr>
            <w:rStyle w:val="Hyperlink"/>
            <w:lang w:val="de-DE"/>
          </w:rPr>
          <w:t>https://doi.org/10.1097/WON.0000000000000414</w:t>
        </w:r>
      </w:hyperlink>
    </w:p>
    <w:p w14:paraId="758A44D7" w14:textId="05437FFF" w:rsidR="00F62E4F" w:rsidRPr="0027216C" w:rsidRDefault="00F62E4F" w:rsidP="00153C32">
      <w:pPr>
        <w:pStyle w:val="Literatur"/>
        <w:rPr>
          <w:lang w:val="de-DE"/>
        </w:rPr>
      </w:pPr>
      <w:r w:rsidRPr="0027216C">
        <w:rPr>
          <w:lang w:val="de-DE"/>
        </w:rPr>
        <w:t xml:space="preserve">TÜV Austria (2008): </w:t>
      </w:r>
      <w:r w:rsidRPr="0027216C">
        <w:t xml:space="preserve">System-Standard für WZ – Wundzentrum und WKZ – Wundkompetenzzentrum. </w:t>
      </w:r>
      <w:hyperlink r:id="rId72" w:history="1">
        <w:r w:rsidRPr="0027216C">
          <w:rPr>
            <w:rStyle w:val="Hyperlink"/>
          </w:rPr>
          <w:t>https://www.akademie-zwm.ch/uploads/media/tuev_system_standard.pdf</w:t>
        </w:r>
      </w:hyperlink>
      <w:r w:rsidRPr="0027216C">
        <w:t xml:space="preserve"> [Zugriff am 01.08.2025]</w:t>
      </w:r>
    </w:p>
    <w:p w14:paraId="2C3DDBD0" w14:textId="3E30E9E8" w:rsidR="007E3FAA" w:rsidRPr="0027216C" w:rsidRDefault="00A42038" w:rsidP="00153C32">
      <w:pPr>
        <w:pStyle w:val="Literatur"/>
        <w:rPr>
          <w:lang w:val="en-US"/>
        </w:rPr>
      </w:pPr>
      <w:r w:rsidRPr="0027216C">
        <w:rPr>
          <w:lang w:val="en-US"/>
        </w:rPr>
        <w:lastRenderedPageBreak/>
        <w:t xml:space="preserve">van Netten JJ, </w:t>
      </w:r>
      <w:proofErr w:type="spellStart"/>
      <w:r w:rsidRPr="0027216C">
        <w:rPr>
          <w:lang w:val="en-US"/>
        </w:rPr>
        <w:t>Raspovic</w:t>
      </w:r>
      <w:proofErr w:type="spellEnd"/>
      <w:r w:rsidRPr="0027216C">
        <w:rPr>
          <w:lang w:val="en-US"/>
        </w:rPr>
        <w:t xml:space="preserve"> A, Lavery LA et al. (2024). Prevention of foot ulcers in persons with diabetes at risk of ulceration: A systematic review and meta-analysis. Diabetes/metabolism research and reviews, 40(3), e3652. </w:t>
      </w:r>
      <w:hyperlink r:id="rId73" w:history="1">
        <w:r w:rsidRPr="0027216C">
          <w:rPr>
            <w:rStyle w:val="Hyperlink"/>
            <w:lang w:val="en-US"/>
          </w:rPr>
          <w:t>https://doi.org/10.1002/dmrr.3652</w:t>
        </w:r>
      </w:hyperlink>
      <w:r w:rsidRPr="0027216C">
        <w:rPr>
          <w:lang w:val="en-US"/>
        </w:rPr>
        <w:t xml:space="preserve"> </w:t>
      </w:r>
    </w:p>
    <w:p w14:paraId="7757460E" w14:textId="37B7288D" w:rsidR="00C3506F" w:rsidRPr="0027216C" w:rsidRDefault="00C3506F" w:rsidP="00153C32">
      <w:pPr>
        <w:pStyle w:val="Literatur"/>
        <w:rPr>
          <w:lang w:val="en-US"/>
        </w:rPr>
      </w:pPr>
      <w:proofErr w:type="spellStart"/>
      <w:r w:rsidRPr="0027216C">
        <w:rPr>
          <w:lang w:val="en-US"/>
        </w:rPr>
        <w:t>Vinatzer</w:t>
      </w:r>
      <w:proofErr w:type="spellEnd"/>
      <w:r w:rsidRPr="0027216C">
        <w:rPr>
          <w:lang w:val="en-US"/>
        </w:rPr>
        <w:t xml:space="preserve"> H, Rzepka A et al. (2024). A Standardized Treatment Pathway for Telehealth-Based Care of Chronic Wounds in Austria. </w:t>
      </w:r>
      <w:hyperlink r:id="rId74" w:history="1">
        <w:r w:rsidRPr="0027216C">
          <w:rPr>
            <w:lang w:val="en-US"/>
          </w:rPr>
          <w:t>Studies in Health Technology and Informatics</w:t>
        </w:r>
      </w:hyperlink>
      <w:r w:rsidRPr="0027216C">
        <w:rPr>
          <w:lang w:val="en-US"/>
        </w:rPr>
        <w:t xml:space="preserve"> </w:t>
      </w:r>
      <w:proofErr w:type="spellStart"/>
      <w:r w:rsidRPr="0027216C">
        <w:rPr>
          <w:lang w:val="en-US"/>
        </w:rPr>
        <w:t>Ebook</w:t>
      </w:r>
      <w:proofErr w:type="spellEnd"/>
      <w:r w:rsidRPr="0027216C">
        <w:rPr>
          <w:lang w:val="en-US"/>
        </w:rPr>
        <w:t xml:space="preserve"> Vol 313:186-191, </w:t>
      </w:r>
      <w:hyperlink r:id="rId75" w:history="1">
        <w:r w:rsidRPr="0027216C">
          <w:rPr>
            <w:u w:val="single"/>
            <w:lang w:val="en-US"/>
          </w:rPr>
          <w:t>https://doi.org/10.3233/SHTI240035</w:t>
        </w:r>
      </w:hyperlink>
      <w:r w:rsidRPr="0027216C">
        <w:rPr>
          <w:lang w:val="en-US"/>
        </w:rPr>
        <w:t xml:space="preserve"> [</w:t>
      </w:r>
      <w:proofErr w:type="spellStart"/>
      <w:r w:rsidRPr="0027216C">
        <w:rPr>
          <w:lang w:val="en-US"/>
        </w:rPr>
        <w:t>Zugriff</w:t>
      </w:r>
      <w:proofErr w:type="spellEnd"/>
      <w:r w:rsidRPr="0027216C">
        <w:rPr>
          <w:lang w:val="en-US"/>
        </w:rPr>
        <w:t xml:space="preserve"> am 23.07.2025]</w:t>
      </w:r>
    </w:p>
    <w:p w14:paraId="379F0659" w14:textId="6CB86F13" w:rsidR="00767A94" w:rsidRPr="00AA17C9" w:rsidRDefault="00A42038" w:rsidP="00153C32">
      <w:pPr>
        <w:pStyle w:val="Literatur"/>
        <w:rPr>
          <w:color w:val="FF0000"/>
          <w:lang w:val="en-US"/>
        </w:rPr>
      </w:pPr>
      <w:r w:rsidRPr="0027216C">
        <w:rPr>
          <w:lang w:val="en-US"/>
        </w:rPr>
        <w:t xml:space="preserve">WHO (2010). Framework for Action on Interprofessional Education and Collaborative Practice. World Health Organization. </w:t>
      </w:r>
      <w:r w:rsidRPr="00960233">
        <w:rPr>
          <w:lang w:val="en-GB"/>
        </w:rPr>
        <w:t xml:space="preserve">Geneva. </w:t>
      </w:r>
      <w:hyperlink r:id="rId76" w:history="1">
        <w:r w:rsidR="00767A94" w:rsidRPr="00AA17C9">
          <w:rPr>
            <w:rStyle w:val="Hyperlink"/>
            <w:rFonts w:cs="Segoe UI"/>
            <w:color w:val="auto"/>
            <w:szCs w:val="20"/>
            <w:lang w:val="en-US"/>
          </w:rPr>
          <w:t>https://iris.who.int/bitstream/handle/10665/70185/WHO_HRH_HPN_10.3_eng.pdf;jsessionid=1FA9D2394E1DA8A4A904A7235FAD8AA8?sequence=1</w:t>
        </w:r>
      </w:hyperlink>
      <w:r w:rsidR="00767A94" w:rsidRPr="00AA17C9">
        <w:rPr>
          <w:color w:val="FF0000"/>
          <w:lang w:val="en-US"/>
        </w:rPr>
        <w:t xml:space="preserve"> </w:t>
      </w:r>
      <w:r w:rsidR="00767A94" w:rsidRPr="00AA17C9">
        <w:rPr>
          <w:lang w:val="en-US"/>
        </w:rPr>
        <w:t>[</w:t>
      </w:r>
      <w:proofErr w:type="spellStart"/>
      <w:r w:rsidR="00767A94" w:rsidRPr="00AA17C9">
        <w:rPr>
          <w:lang w:val="en-US"/>
        </w:rPr>
        <w:t>Zugriff</w:t>
      </w:r>
      <w:proofErr w:type="spellEnd"/>
      <w:r w:rsidR="00767A94" w:rsidRPr="00AA17C9">
        <w:rPr>
          <w:lang w:val="en-US"/>
        </w:rPr>
        <w:t xml:space="preserve"> am 10.12.2024]</w:t>
      </w:r>
    </w:p>
    <w:p w14:paraId="4E406ECA" w14:textId="77777777" w:rsidR="007E3FAA" w:rsidRPr="0027216C" w:rsidRDefault="00A42038" w:rsidP="00153C32">
      <w:pPr>
        <w:pStyle w:val="Literatur"/>
        <w:rPr>
          <w:lang w:val="de-DE"/>
        </w:rPr>
      </w:pPr>
      <w:r w:rsidRPr="0027216C">
        <w:rPr>
          <w:lang w:val="de-DE"/>
        </w:rPr>
        <w:t xml:space="preserve">WHO (2020): L89.- </w:t>
      </w:r>
      <w:proofErr w:type="spellStart"/>
      <w:r w:rsidRPr="0027216C">
        <w:rPr>
          <w:lang w:val="de-DE"/>
        </w:rPr>
        <w:t>Dekubitalgeschwür</w:t>
      </w:r>
      <w:proofErr w:type="spellEnd"/>
      <w:r w:rsidRPr="0027216C">
        <w:rPr>
          <w:lang w:val="de-DE"/>
        </w:rPr>
        <w:t xml:space="preserve"> und Druckzone [online]. </w:t>
      </w:r>
      <w:hyperlink r:id="rId77" w:history="1">
        <w:r w:rsidRPr="0027216C">
          <w:rPr>
            <w:rStyle w:val="Hyperlink"/>
            <w:rFonts w:cs="Segoe UI"/>
            <w:szCs w:val="20"/>
            <w:lang w:val="de-DE"/>
          </w:rPr>
          <w:t>https://www.icd-code.de/icd/code/L89.-.html</w:t>
        </w:r>
      </w:hyperlink>
      <w:r w:rsidRPr="0027216C">
        <w:rPr>
          <w:lang w:val="de-DE"/>
        </w:rPr>
        <w:t xml:space="preserve"> [Zugriff am 09.08.2022]</w:t>
      </w:r>
    </w:p>
    <w:p w14:paraId="58C9CF1D" w14:textId="77777777" w:rsidR="007E3FAA" w:rsidRPr="0027216C" w:rsidRDefault="00A42038">
      <w:pPr>
        <w:spacing w:before="0" w:line="240" w:lineRule="auto"/>
        <w:jc w:val="left"/>
        <w:rPr>
          <w:rFonts w:cs="Segoe UI"/>
          <w:noProof/>
          <w:szCs w:val="20"/>
          <w:lang w:val="de-DE"/>
        </w:rPr>
      </w:pPr>
      <w:r w:rsidRPr="0027216C">
        <w:rPr>
          <w:rFonts w:cs="Segoe UI"/>
          <w:szCs w:val="20"/>
          <w:lang w:val="de-DE"/>
        </w:rPr>
        <w:br w:type="page"/>
      </w:r>
    </w:p>
    <w:p w14:paraId="511B6260" w14:textId="77777777" w:rsidR="007E3FAA" w:rsidRPr="0027216C" w:rsidRDefault="00A42038">
      <w:pPr>
        <w:pStyle w:val="berschriftAnhang"/>
      </w:pPr>
      <w:bookmarkStart w:id="114" w:name="_Toc211342082"/>
      <w:r w:rsidRPr="0027216C">
        <w:lastRenderedPageBreak/>
        <w:t>Anhang</w:t>
      </w:r>
      <w:bookmarkEnd w:id="114"/>
    </w:p>
    <w:p w14:paraId="05CE79A0" w14:textId="1F21102C" w:rsidR="007E3FAA" w:rsidRPr="0027216C" w:rsidRDefault="003752C4" w:rsidP="003752C4">
      <w:pPr>
        <w:pStyle w:val="Beschriftung"/>
      </w:pPr>
      <w:r>
        <w:t xml:space="preserve">Tabelle </w:t>
      </w:r>
      <w:fldSimple w:instr=" SEQ Tabelle \* ARABIC ">
        <w:r w:rsidR="00AE5135">
          <w:rPr>
            <w:noProof/>
          </w:rPr>
          <w:t>2</w:t>
        </w:r>
      </w:fldSimple>
      <w:r w:rsidR="00A42038" w:rsidRPr="0027216C">
        <w:t>: Einstufung der Evidenzstärke</w:t>
      </w:r>
    </w:p>
    <w:tbl>
      <w:tblPr>
        <w:tblStyle w:val="GGRahmen"/>
        <w:tblW w:w="5000" w:type="pct"/>
        <w:tblLook w:val="04A0" w:firstRow="1" w:lastRow="0" w:firstColumn="1" w:lastColumn="0" w:noHBand="0" w:noVBand="1"/>
      </w:tblPr>
      <w:tblGrid>
        <w:gridCol w:w="4192"/>
        <w:gridCol w:w="2386"/>
        <w:gridCol w:w="1813"/>
      </w:tblGrid>
      <w:tr w:rsidR="007E3FAA" w:rsidRPr="0027216C" w14:paraId="497FE871" w14:textId="77777777" w:rsidTr="003752C4">
        <w:trPr>
          <w:cnfStyle w:val="100000000000" w:firstRow="1" w:lastRow="0" w:firstColumn="0" w:lastColumn="0" w:oddVBand="0" w:evenVBand="0" w:oddHBand="0" w:evenHBand="0" w:firstRowFirstColumn="0" w:firstRowLastColumn="0" w:lastRowFirstColumn="0" w:lastRowLastColumn="0"/>
          <w:trHeight w:val="124"/>
        </w:trPr>
        <w:tc>
          <w:tcPr>
            <w:tcW w:w="2500" w:type="pct"/>
            <w:noWrap/>
            <w:hideMark/>
          </w:tcPr>
          <w:p w14:paraId="5D1CAE5D" w14:textId="5F40A8C7" w:rsidR="007E3FAA" w:rsidRPr="003752C4" w:rsidRDefault="00A42038" w:rsidP="00CF7505">
            <w:pPr>
              <w:pStyle w:val="THEbene1"/>
              <w:rPr>
                <w:b w:val="0"/>
                <w:bCs/>
              </w:rPr>
            </w:pPr>
            <w:r w:rsidRPr="003752C4">
              <w:rPr>
                <w:b w:val="0"/>
                <w:bCs/>
              </w:rPr>
              <w:t>Grundlagendokument</w:t>
            </w:r>
          </w:p>
        </w:tc>
        <w:tc>
          <w:tcPr>
            <w:tcW w:w="1417" w:type="pct"/>
            <w:noWrap/>
            <w:hideMark/>
          </w:tcPr>
          <w:p w14:paraId="305A0B50" w14:textId="77777777" w:rsidR="007E3FAA" w:rsidRPr="003752C4" w:rsidRDefault="00A42038" w:rsidP="00CF7505">
            <w:pPr>
              <w:pStyle w:val="THEbene1"/>
              <w:rPr>
                <w:b w:val="0"/>
                <w:bCs/>
              </w:rPr>
            </w:pPr>
            <w:r w:rsidRPr="003752C4">
              <w:rPr>
                <w:b w:val="0"/>
                <w:bCs/>
              </w:rPr>
              <w:t xml:space="preserve">Grundalgendokument </w:t>
            </w:r>
            <w:r w:rsidRPr="003752C4">
              <w:rPr>
                <w:b w:val="0"/>
                <w:bCs/>
              </w:rPr>
              <w:br/>
              <w:t>(Bezeichnung aus Leitlinie)</w:t>
            </w:r>
          </w:p>
        </w:tc>
        <w:tc>
          <w:tcPr>
            <w:tcW w:w="1083" w:type="pct"/>
            <w:noWrap/>
            <w:hideMark/>
          </w:tcPr>
          <w:p w14:paraId="0970DAA0" w14:textId="2FE5CB7F" w:rsidR="007E3FAA" w:rsidRPr="003752C4" w:rsidRDefault="00A42038" w:rsidP="00CF7505">
            <w:pPr>
              <w:pStyle w:val="THEbene1"/>
              <w:rPr>
                <w:b w:val="0"/>
                <w:bCs/>
              </w:rPr>
            </w:pPr>
            <w:r w:rsidRPr="003752C4">
              <w:rPr>
                <w:b w:val="0"/>
                <w:bCs/>
              </w:rPr>
              <w:t>Evidenzstärke</w:t>
            </w:r>
            <w:r w:rsidRPr="003752C4">
              <w:rPr>
                <w:b w:val="0"/>
                <w:bCs/>
              </w:rPr>
              <w:br/>
              <w:t>im QS</w:t>
            </w:r>
          </w:p>
        </w:tc>
      </w:tr>
      <w:tr w:rsidR="007E3FAA" w:rsidRPr="0027216C" w14:paraId="531416F7" w14:textId="77777777" w:rsidTr="003752C4">
        <w:trPr>
          <w:trHeight w:val="124"/>
        </w:trPr>
        <w:tc>
          <w:tcPr>
            <w:tcW w:w="2500" w:type="pct"/>
            <w:noWrap/>
          </w:tcPr>
          <w:p w14:paraId="4B05195B" w14:textId="77777777" w:rsidR="007E3FAA" w:rsidRPr="0027216C" w:rsidRDefault="007E3FAA">
            <w:pPr>
              <w:pStyle w:val="THEbene1"/>
              <w:rPr>
                <w:rFonts w:ascii="Segoe UI" w:eastAsia="Times New Roman" w:hAnsi="Segoe UI" w:cs="Segoe UI"/>
                <w:lang w:eastAsia="de-AT" w:bidi="ar-SA"/>
              </w:rPr>
            </w:pPr>
          </w:p>
        </w:tc>
        <w:tc>
          <w:tcPr>
            <w:tcW w:w="1417" w:type="pct"/>
            <w:noWrap/>
          </w:tcPr>
          <w:p w14:paraId="1DAA9DE3" w14:textId="77777777" w:rsidR="007E3FAA" w:rsidRPr="00960233" w:rsidRDefault="00A42038" w:rsidP="003752C4">
            <w:pPr>
              <w:pStyle w:val="THEbene20"/>
            </w:pPr>
            <w:r w:rsidRPr="00960233">
              <w:t>Empfehlungsgrad</w:t>
            </w:r>
          </w:p>
        </w:tc>
        <w:tc>
          <w:tcPr>
            <w:tcW w:w="1083" w:type="pct"/>
            <w:noWrap/>
          </w:tcPr>
          <w:p w14:paraId="3577E189" w14:textId="77777777" w:rsidR="007E3FAA" w:rsidRPr="0027216C" w:rsidRDefault="007E3FAA" w:rsidP="003752C4">
            <w:pPr>
              <w:pStyle w:val="THEbene20"/>
              <w:rPr>
                <w:rFonts w:ascii="Segoe UI" w:eastAsia="Times New Roman" w:hAnsi="Segoe UI" w:cs="Segoe UI"/>
                <w:lang w:eastAsia="de-AT" w:bidi="ar-SA"/>
              </w:rPr>
            </w:pPr>
          </w:p>
        </w:tc>
      </w:tr>
      <w:tr w:rsidR="007E3FAA" w:rsidRPr="0027216C" w14:paraId="297C406C" w14:textId="77777777" w:rsidTr="003752C4">
        <w:trPr>
          <w:trHeight w:val="124"/>
        </w:trPr>
        <w:tc>
          <w:tcPr>
            <w:tcW w:w="2500" w:type="pct"/>
            <w:vMerge w:val="restart"/>
            <w:hideMark/>
          </w:tcPr>
          <w:p w14:paraId="44C1E589" w14:textId="4347E587" w:rsidR="007E3FAA" w:rsidRPr="0027216C" w:rsidRDefault="00A42038">
            <w:pPr>
              <w:pStyle w:val="TD"/>
              <w:ind w:left="-33"/>
              <w:rPr>
                <w:rFonts w:eastAsia="Times New Roman" w:cs="Segoe UI"/>
                <w:lang w:eastAsia="de-AT" w:bidi="ar-SA"/>
              </w:rPr>
            </w:pPr>
            <w:r w:rsidRPr="00960233">
              <w:rPr>
                <w:rFonts w:ascii="Segoe UI Semibold" w:hAnsi="Segoe UI Semibold" w:cs="Segoe UI Semibold"/>
              </w:rPr>
              <w:t xml:space="preserve">AWMF </w:t>
            </w:r>
            <w:r w:rsidR="0010617F">
              <w:rPr>
                <w:rFonts w:ascii="Segoe UI Semibold" w:hAnsi="Segoe UI Semibold" w:cs="Segoe UI Semibold"/>
              </w:rPr>
              <w:t>(</w:t>
            </w:r>
            <w:r w:rsidRPr="00960233">
              <w:rPr>
                <w:rFonts w:ascii="Segoe UI Semibold" w:hAnsi="Segoe UI Semibold" w:cs="Segoe UI Semibold"/>
              </w:rPr>
              <w:t>2023</w:t>
            </w:r>
            <w:r w:rsidR="0010617F">
              <w:rPr>
                <w:rFonts w:ascii="Segoe UI Semibold" w:hAnsi="Segoe UI Semibold" w:cs="Segoe UI Semibold"/>
              </w:rPr>
              <w:t>):</w:t>
            </w:r>
            <w:r w:rsidRPr="0027216C">
              <w:rPr>
                <w:rFonts w:cs="Segoe UI"/>
                <w:b/>
                <w:bCs/>
              </w:rPr>
              <w:t xml:space="preserve"> </w:t>
            </w:r>
            <w:r w:rsidRPr="0027216C">
              <w:rPr>
                <w:rFonts w:cs="Segoe UI"/>
              </w:rPr>
              <w:t>S3‐Leitlinie Lokaltherapie chronischer Wunden bei Patienten mit den Risiken periphere arterielle Verschlusskrankheit, Diabetes mellitus, chronisch venöse Insuffizienz</w:t>
            </w:r>
          </w:p>
        </w:tc>
        <w:tc>
          <w:tcPr>
            <w:tcW w:w="1417" w:type="pct"/>
            <w:noWrap/>
            <w:hideMark/>
          </w:tcPr>
          <w:p w14:paraId="5D8F9082" w14:textId="647BF667"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A</w:t>
            </w:r>
          </w:p>
        </w:tc>
        <w:tc>
          <w:tcPr>
            <w:tcW w:w="1083" w:type="pct"/>
            <w:noWrap/>
            <w:hideMark/>
          </w:tcPr>
          <w:p w14:paraId="67A7BFF6" w14:textId="1DBC8661"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stark</w:t>
            </w:r>
          </w:p>
        </w:tc>
      </w:tr>
      <w:tr w:rsidR="007E3FAA" w:rsidRPr="0027216C" w14:paraId="7ABE1527" w14:textId="77777777" w:rsidTr="003752C4">
        <w:trPr>
          <w:trHeight w:val="124"/>
        </w:trPr>
        <w:tc>
          <w:tcPr>
            <w:tcW w:w="2500" w:type="pct"/>
            <w:vMerge/>
            <w:hideMark/>
          </w:tcPr>
          <w:p w14:paraId="1EC032F9" w14:textId="77777777" w:rsidR="007E3FAA" w:rsidRPr="0027216C" w:rsidRDefault="007E3FAA">
            <w:pPr>
              <w:pStyle w:val="TD"/>
              <w:rPr>
                <w:rFonts w:eastAsia="Times New Roman" w:cs="Segoe UI"/>
                <w:lang w:eastAsia="de-AT" w:bidi="ar-SA"/>
              </w:rPr>
            </w:pPr>
          </w:p>
        </w:tc>
        <w:tc>
          <w:tcPr>
            <w:tcW w:w="1417" w:type="pct"/>
            <w:noWrap/>
            <w:hideMark/>
          </w:tcPr>
          <w:p w14:paraId="4E7035BA" w14:textId="77777777"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B</w:t>
            </w:r>
          </w:p>
        </w:tc>
        <w:tc>
          <w:tcPr>
            <w:tcW w:w="1083" w:type="pct"/>
            <w:noWrap/>
            <w:hideMark/>
          </w:tcPr>
          <w:p w14:paraId="41C9EE0C" w14:textId="77777777"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mittel</w:t>
            </w:r>
          </w:p>
        </w:tc>
      </w:tr>
      <w:tr w:rsidR="007E3FAA" w:rsidRPr="0027216C" w14:paraId="4BB2C4A6" w14:textId="77777777" w:rsidTr="003752C4">
        <w:trPr>
          <w:trHeight w:val="124"/>
        </w:trPr>
        <w:tc>
          <w:tcPr>
            <w:tcW w:w="2500" w:type="pct"/>
            <w:vMerge/>
            <w:hideMark/>
          </w:tcPr>
          <w:p w14:paraId="693E6E5B" w14:textId="77777777" w:rsidR="007E3FAA" w:rsidRPr="0027216C" w:rsidRDefault="007E3FAA">
            <w:pPr>
              <w:pStyle w:val="TD"/>
              <w:rPr>
                <w:rFonts w:eastAsia="Times New Roman" w:cs="Segoe UI"/>
                <w:lang w:eastAsia="de-AT" w:bidi="ar-SA"/>
              </w:rPr>
            </w:pPr>
          </w:p>
        </w:tc>
        <w:tc>
          <w:tcPr>
            <w:tcW w:w="1417" w:type="pct"/>
            <w:noWrap/>
            <w:hideMark/>
          </w:tcPr>
          <w:p w14:paraId="1B1C7632" w14:textId="02A8ABFB"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0, Expert</w:t>
            </w:r>
            <w:r w:rsidR="00B212F1">
              <w:rPr>
                <w:rFonts w:eastAsia="Times New Roman" w:cs="Segoe UI"/>
                <w:lang w:eastAsia="de-AT" w:bidi="ar-SA"/>
              </w:rPr>
              <w:t>en</w:t>
            </w:r>
            <w:r w:rsidRPr="0027216C">
              <w:rPr>
                <w:rFonts w:eastAsia="Times New Roman" w:cs="Segoe UI"/>
                <w:lang w:eastAsia="de-AT" w:bidi="ar-SA"/>
              </w:rPr>
              <w:t>konsens (EK)</w:t>
            </w:r>
          </w:p>
        </w:tc>
        <w:tc>
          <w:tcPr>
            <w:tcW w:w="1083" w:type="pct"/>
            <w:noWrap/>
            <w:hideMark/>
          </w:tcPr>
          <w:p w14:paraId="2DEF2D8A" w14:textId="77777777"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schwach</w:t>
            </w:r>
          </w:p>
        </w:tc>
      </w:tr>
      <w:tr w:rsidR="007E3FAA" w:rsidRPr="0027216C" w14:paraId="0612A0B7" w14:textId="77777777" w:rsidTr="003752C4">
        <w:trPr>
          <w:trHeight w:val="124"/>
        </w:trPr>
        <w:tc>
          <w:tcPr>
            <w:tcW w:w="2500" w:type="pct"/>
          </w:tcPr>
          <w:p w14:paraId="2E321503" w14:textId="77777777" w:rsidR="007E3FAA" w:rsidRPr="0027216C" w:rsidRDefault="007E3FAA">
            <w:pPr>
              <w:pStyle w:val="TD"/>
              <w:rPr>
                <w:rFonts w:eastAsia="Times New Roman" w:cs="Segoe UI"/>
                <w:lang w:eastAsia="de-AT" w:bidi="ar-SA"/>
              </w:rPr>
            </w:pPr>
          </w:p>
        </w:tc>
        <w:tc>
          <w:tcPr>
            <w:tcW w:w="1417" w:type="pct"/>
            <w:noWrap/>
          </w:tcPr>
          <w:p w14:paraId="525CEC94" w14:textId="77777777" w:rsidR="007E3FAA" w:rsidRPr="0027216C" w:rsidRDefault="00A42038" w:rsidP="003752C4">
            <w:pPr>
              <w:pStyle w:val="THEbene30"/>
              <w:rPr>
                <w:rFonts w:eastAsia="Times New Roman"/>
                <w:lang w:eastAsia="de-AT" w:bidi="ar-SA"/>
              </w:rPr>
            </w:pPr>
            <w:r w:rsidRPr="0027216C">
              <w:rPr>
                <w:rFonts w:eastAsia="Times New Roman"/>
                <w:lang w:eastAsia="de-AT" w:bidi="ar-SA"/>
              </w:rPr>
              <w:t>Evidenzgrad</w:t>
            </w:r>
          </w:p>
        </w:tc>
        <w:tc>
          <w:tcPr>
            <w:tcW w:w="1083" w:type="pct"/>
            <w:noWrap/>
          </w:tcPr>
          <w:p w14:paraId="51ECD776" w14:textId="77777777" w:rsidR="007E3FAA" w:rsidRPr="0027216C" w:rsidRDefault="007E3FAA" w:rsidP="003752C4">
            <w:pPr>
              <w:pStyle w:val="THEbene30"/>
              <w:rPr>
                <w:rFonts w:eastAsia="Times New Roman" w:cs="Segoe UI"/>
                <w:lang w:eastAsia="de-AT" w:bidi="ar-SA"/>
              </w:rPr>
            </w:pPr>
          </w:p>
        </w:tc>
      </w:tr>
      <w:tr w:rsidR="007E3FAA" w:rsidRPr="0027216C" w14:paraId="16E1FB51" w14:textId="77777777" w:rsidTr="003752C4">
        <w:trPr>
          <w:trHeight w:val="250"/>
        </w:trPr>
        <w:tc>
          <w:tcPr>
            <w:tcW w:w="2500" w:type="pct"/>
            <w:vMerge w:val="restart"/>
          </w:tcPr>
          <w:p w14:paraId="4F5E2B5C" w14:textId="1BDA7881" w:rsidR="007E3FAA" w:rsidRPr="003752C4" w:rsidRDefault="00A42038" w:rsidP="003752C4">
            <w:pPr>
              <w:pStyle w:val="TD"/>
              <w:ind w:left="-33"/>
              <w:rPr>
                <w:rFonts w:cs="Segoe UI"/>
              </w:rPr>
            </w:pPr>
            <w:r w:rsidRPr="00960233">
              <w:rPr>
                <w:rFonts w:ascii="Segoe UI Semibold" w:hAnsi="Segoe UI Semibold" w:cs="Segoe UI Semibold"/>
                <w:lang w:val="en-US"/>
              </w:rPr>
              <w:t xml:space="preserve">EPUAP </w:t>
            </w:r>
            <w:r w:rsidR="0010617F">
              <w:rPr>
                <w:rFonts w:ascii="Segoe UI Semibold" w:hAnsi="Segoe UI Semibold" w:cs="Segoe UI Semibold"/>
                <w:lang w:val="en-US"/>
              </w:rPr>
              <w:t>(</w:t>
            </w:r>
            <w:r w:rsidRPr="00960233">
              <w:rPr>
                <w:rFonts w:ascii="Segoe UI Semibold" w:hAnsi="Segoe UI Semibold" w:cs="Segoe UI Semibold"/>
                <w:lang w:val="en-US"/>
              </w:rPr>
              <w:t>2019</w:t>
            </w:r>
            <w:r w:rsidR="0010617F">
              <w:rPr>
                <w:rFonts w:ascii="Segoe UI Semibold" w:hAnsi="Segoe UI Semibold" w:cs="Segoe UI Semibold"/>
                <w:lang w:val="en-US"/>
              </w:rPr>
              <w:t>):</w:t>
            </w:r>
            <w:r w:rsidRPr="0027216C">
              <w:rPr>
                <w:rFonts w:cs="Segoe UI"/>
                <w:b/>
                <w:bCs/>
                <w:lang w:val="en-US"/>
              </w:rPr>
              <w:t xml:space="preserve"> </w:t>
            </w:r>
            <w:r w:rsidRPr="0027216C">
              <w:rPr>
                <w:rFonts w:cs="Segoe UI"/>
                <w:lang w:val="en-US"/>
              </w:rPr>
              <w:t xml:space="preserve">European Pressure Ulcer Advisory Panel. </w:t>
            </w:r>
            <w:r w:rsidRPr="0027216C">
              <w:rPr>
                <w:rFonts w:cs="Segoe UI"/>
              </w:rPr>
              <w:t>Prävention und Behandlung von Dekubitus (deutschsprachige Fassung)</w:t>
            </w:r>
          </w:p>
        </w:tc>
        <w:tc>
          <w:tcPr>
            <w:tcW w:w="1417" w:type="pct"/>
          </w:tcPr>
          <w:p w14:paraId="6AB24E06" w14:textId="77777777"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A, B1</w:t>
            </w:r>
          </w:p>
        </w:tc>
        <w:tc>
          <w:tcPr>
            <w:tcW w:w="1083" w:type="pct"/>
            <w:noWrap/>
          </w:tcPr>
          <w:p w14:paraId="556821B5" w14:textId="77777777"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stark</w:t>
            </w:r>
          </w:p>
        </w:tc>
      </w:tr>
      <w:tr w:rsidR="007E3FAA" w:rsidRPr="0027216C" w14:paraId="399AC90A" w14:textId="77777777" w:rsidTr="003752C4">
        <w:trPr>
          <w:trHeight w:val="250"/>
        </w:trPr>
        <w:tc>
          <w:tcPr>
            <w:tcW w:w="2500" w:type="pct"/>
            <w:vMerge/>
          </w:tcPr>
          <w:p w14:paraId="76730EBD" w14:textId="77777777" w:rsidR="007E3FAA" w:rsidRPr="0027216C" w:rsidRDefault="007E3FAA">
            <w:pPr>
              <w:pStyle w:val="TD"/>
              <w:rPr>
                <w:rFonts w:eastAsia="Times New Roman" w:cs="Segoe UI"/>
                <w:lang w:eastAsia="de-AT" w:bidi="ar-SA"/>
              </w:rPr>
            </w:pPr>
          </w:p>
        </w:tc>
        <w:tc>
          <w:tcPr>
            <w:tcW w:w="1417" w:type="pct"/>
          </w:tcPr>
          <w:p w14:paraId="37097155" w14:textId="77777777"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B2</w:t>
            </w:r>
          </w:p>
        </w:tc>
        <w:tc>
          <w:tcPr>
            <w:tcW w:w="1083" w:type="pct"/>
            <w:noWrap/>
          </w:tcPr>
          <w:p w14:paraId="004D8959" w14:textId="77777777"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mittel</w:t>
            </w:r>
          </w:p>
        </w:tc>
      </w:tr>
      <w:tr w:rsidR="007E3FAA" w:rsidRPr="0027216C" w14:paraId="50BB2948" w14:textId="77777777" w:rsidTr="003752C4">
        <w:trPr>
          <w:trHeight w:val="250"/>
        </w:trPr>
        <w:tc>
          <w:tcPr>
            <w:tcW w:w="2500" w:type="pct"/>
            <w:vMerge/>
          </w:tcPr>
          <w:p w14:paraId="021F56D6" w14:textId="77777777" w:rsidR="007E3FAA" w:rsidRPr="0027216C" w:rsidRDefault="007E3FAA">
            <w:pPr>
              <w:pStyle w:val="TD"/>
              <w:rPr>
                <w:rFonts w:eastAsia="Times New Roman" w:cs="Segoe UI"/>
                <w:lang w:eastAsia="de-AT" w:bidi="ar-SA"/>
              </w:rPr>
            </w:pPr>
          </w:p>
        </w:tc>
        <w:tc>
          <w:tcPr>
            <w:tcW w:w="1417" w:type="pct"/>
          </w:tcPr>
          <w:p w14:paraId="0752F536" w14:textId="77777777" w:rsidR="007E3FAA" w:rsidRPr="0027216C" w:rsidRDefault="00A42038" w:rsidP="003752C4">
            <w:pPr>
              <w:pStyle w:val="TD"/>
              <w:jc w:val="center"/>
              <w:rPr>
                <w:rFonts w:eastAsia="Times New Roman" w:cs="Segoe UI"/>
                <w:lang w:val="en-AU" w:eastAsia="de-AT" w:bidi="ar-SA"/>
              </w:rPr>
            </w:pPr>
            <w:r w:rsidRPr="0027216C">
              <w:rPr>
                <w:rFonts w:eastAsia="Times New Roman" w:cs="Segoe UI"/>
                <w:lang w:val="en-AU" w:eastAsia="de-AT" w:bidi="ar-SA"/>
              </w:rPr>
              <w:t>C Good Practice Statement (GPS)</w:t>
            </w:r>
          </w:p>
        </w:tc>
        <w:tc>
          <w:tcPr>
            <w:tcW w:w="1083" w:type="pct"/>
            <w:noWrap/>
          </w:tcPr>
          <w:p w14:paraId="1495C534" w14:textId="77777777" w:rsidR="007E3FAA" w:rsidRPr="0027216C" w:rsidRDefault="00A42038" w:rsidP="003752C4">
            <w:pPr>
              <w:pStyle w:val="TD"/>
              <w:jc w:val="center"/>
              <w:rPr>
                <w:rFonts w:eastAsia="Times New Roman" w:cs="Segoe UI"/>
                <w:lang w:eastAsia="de-AT" w:bidi="ar-SA"/>
              </w:rPr>
            </w:pPr>
            <w:r w:rsidRPr="0027216C">
              <w:rPr>
                <w:rFonts w:eastAsia="Times New Roman" w:cs="Segoe UI"/>
                <w:lang w:eastAsia="de-AT" w:bidi="ar-SA"/>
              </w:rPr>
              <w:t>schwach</w:t>
            </w:r>
          </w:p>
        </w:tc>
      </w:tr>
      <w:tr w:rsidR="007E3FAA" w:rsidRPr="0027216C" w14:paraId="53166629" w14:textId="77777777" w:rsidTr="003752C4">
        <w:trPr>
          <w:trHeight w:val="250"/>
        </w:trPr>
        <w:tc>
          <w:tcPr>
            <w:tcW w:w="2500" w:type="pct"/>
            <w:vMerge w:val="restart"/>
          </w:tcPr>
          <w:p w14:paraId="372B921A" w14:textId="768192AA" w:rsidR="007E3FAA" w:rsidRPr="0027216C" w:rsidRDefault="00A42038">
            <w:pPr>
              <w:pStyle w:val="TD"/>
              <w:ind w:left="-33"/>
              <w:rPr>
                <w:rFonts w:eastAsia="Times New Roman" w:cs="Segoe UI"/>
                <w:lang w:val="en-AU" w:eastAsia="de-AT" w:bidi="ar-SA"/>
              </w:rPr>
            </w:pPr>
            <w:r w:rsidRPr="00960233">
              <w:rPr>
                <w:rFonts w:ascii="Segoe UI Semibold" w:hAnsi="Segoe UI Semibold" w:cs="Segoe UI Semibold"/>
                <w:lang w:val="en-AU"/>
              </w:rPr>
              <w:t xml:space="preserve">IWGDF </w:t>
            </w:r>
            <w:r w:rsidR="0010617F">
              <w:rPr>
                <w:rFonts w:ascii="Segoe UI Semibold" w:hAnsi="Segoe UI Semibold" w:cs="Segoe UI Semibold"/>
                <w:lang w:val="en-AU"/>
              </w:rPr>
              <w:t>(</w:t>
            </w:r>
            <w:r w:rsidRPr="00960233">
              <w:rPr>
                <w:rFonts w:ascii="Segoe UI Semibold" w:hAnsi="Segoe UI Semibold" w:cs="Segoe UI Semibold"/>
                <w:lang w:val="en-AU"/>
              </w:rPr>
              <w:t>2023</w:t>
            </w:r>
            <w:r w:rsidR="0010617F">
              <w:rPr>
                <w:rFonts w:ascii="Segoe UI Semibold" w:hAnsi="Segoe UI Semibold" w:cs="Segoe UI Semibold"/>
                <w:lang w:val="en-AU"/>
              </w:rPr>
              <w:t>):</w:t>
            </w:r>
            <w:r w:rsidRPr="0027216C">
              <w:rPr>
                <w:rFonts w:cs="Segoe UI"/>
                <w:lang w:val="en-AU"/>
              </w:rPr>
              <w:t xml:space="preserve"> International Working Group on the Diabetic Foot. Practical guidelines on the prevention and management of diabetes-related foot disease </w:t>
            </w:r>
            <w:r w:rsidR="008A1901">
              <w:rPr>
                <w:rFonts w:cs="Segoe UI"/>
                <w:lang w:val="en-AU"/>
              </w:rPr>
              <w:br/>
            </w:r>
            <w:r w:rsidRPr="0027216C">
              <w:rPr>
                <w:rFonts w:cs="Segoe UI"/>
                <w:lang w:val="en-AU"/>
              </w:rPr>
              <w:t>(update)</w:t>
            </w:r>
          </w:p>
        </w:tc>
        <w:tc>
          <w:tcPr>
            <w:tcW w:w="1417" w:type="pct"/>
          </w:tcPr>
          <w:p w14:paraId="1D90B0A3" w14:textId="77777777" w:rsidR="007E3FAA" w:rsidRPr="0027216C" w:rsidRDefault="00A42038" w:rsidP="003752C4">
            <w:pPr>
              <w:pStyle w:val="TD"/>
              <w:jc w:val="center"/>
              <w:rPr>
                <w:rFonts w:eastAsia="Times New Roman" w:cs="Segoe UI"/>
                <w:lang w:val="en-AU" w:eastAsia="de-AT" w:bidi="ar-SA"/>
              </w:rPr>
            </w:pPr>
            <w:r w:rsidRPr="0027216C">
              <w:rPr>
                <w:rFonts w:eastAsia="Times New Roman" w:cs="Segoe UI"/>
                <w:lang w:val="en-AU" w:eastAsia="de-AT" w:bidi="ar-SA"/>
              </w:rPr>
              <w:t>high</w:t>
            </w:r>
          </w:p>
        </w:tc>
        <w:tc>
          <w:tcPr>
            <w:tcW w:w="1083" w:type="pct"/>
            <w:noWrap/>
          </w:tcPr>
          <w:p w14:paraId="52D511BD" w14:textId="77777777" w:rsidR="007E3FAA" w:rsidRPr="0027216C" w:rsidRDefault="00A42038" w:rsidP="003752C4">
            <w:pPr>
              <w:pStyle w:val="TD"/>
              <w:jc w:val="center"/>
              <w:rPr>
                <w:rFonts w:eastAsia="Times New Roman" w:cs="Segoe UI"/>
                <w:lang w:val="en-AU" w:eastAsia="de-AT" w:bidi="ar-SA"/>
              </w:rPr>
            </w:pPr>
            <w:r w:rsidRPr="0027216C">
              <w:rPr>
                <w:rFonts w:eastAsia="Times New Roman" w:cs="Segoe UI"/>
                <w:lang w:eastAsia="de-AT" w:bidi="ar-SA"/>
              </w:rPr>
              <w:t>stark</w:t>
            </w:r>
          </w:p>
        </w:tc>
      </w:tr>
      <w:tr w:rsidR="007E3FAA" w:rsidRPr="0027216C" w14:paraId="43C40D8F" w14:textId="77777777" w:rsidTr="003752C4">
        <w:trPr>
          <w:trHeight w:val="250"/>
        </w:trPr>
        <w:tc>
          <w:tcPr>
            <w:tcW w:w="2500" w:type="pct"/>
            <w:vMerge/>
          </w:tcPr>
          <w:p w14:paraId="1D5A1F51" w14:textId="77777777" w:rsidR="007E3FAA" w:rsidRPr="0027216C" w:rsidRDefault="007E3FAA">
            <w:pPr>
              <w:pStyle w:val="TD"/>
              <w:rPr>
                <w:rFonts w:cs="Segoe UI"/>
                <w:lang w:val="en-AU"/>
              </w:rPr>
            </w:pPr>
          </w:p>
        </w:tc>
        <w:tc>
          <w:tcPr>
            <w:tcW w:w="1417" w:type="pct"/>
          </w:tcPr>
          <w:p w14:paraId="257039E6" w14:textId="77777777" w:rsidR="007E3FAA" w:rsidRPr="0027216C" w:rsidRDefault="00A42038" w:rsidP="003752C4">
            <w:pPr>
              <w:pStyle w:val="TD"/>
              <w:jc w:val="center"/>
              <w:rPr>
                <w:rFonts w:eastAsia="Times New Roman" w:cs="Segoe UI"/>
                <w:lang w:val="en-AU" w:eastAsia="de-AT" w:bidi="ar-SA"/>
              </w:rPr>
            </w:pPr>
            <w:r w:rsidRPr="0027216C">
              <w:rPr>
                <w:rFonts w:eastAsia="Times New Roman" w:cs="Segoe UI"/>
                <w:lang w:val="en-AU" w:eastAsia="de-AT" w:bidi="ar-SA"/>
              </w:rPr>
              <w:t>moderate</w:t>
            </w:r>
          </w:p>
        </w:tc>
        <w:tc>
          <w:tcPr>
            <w:tcW w:w="1083" w:type="pct"/>
            <w:noWrap/>
          </w:tcPr>
          <w:p w14:paraId="5D69ED5E" w14:textId="77777777" w:rsidR="007E3FAA" w:rsidRPr="0027216C" w:rsidRDefault="00A42038" w:rsidP="003752C4">
            <w:pPr>
              <w:pStyle w:val="TD"/>
              <w:jc w:val="center"/>
              <w:rPr>
                <w:rFonts w:eastAsia="Times New Roman" w:cs="Segoe UI"/>
                <w:lang w:val="en-AU" w:eastAsia="de-AT" w:bidi="ar-SA"/>
              </w:rPr>
            </w:pPr>
            <w:r w:rsidRPr="0027216C">
              <w:rPr>
                <w:rFonts w:eastAsia="Times New Roman" w:cs="Segoe UI"/>
                <w:lang w:eastAsia="de-AT" w:bidi="ar-SA"/>
              </w:rPr>
              <w:t>mittel</w:t>
            </w:r>
          </w:p>
        </w:tc>
      </w:tr>
      <w:tr w:rsidR="007E3FAA" w:rsidRPr="0027216C" w14:paraId="3D70C1C2" w14:textId="77777777" w:rsidTr="003752C4">
        <w:trPr>
          <w:trHeight w:val="250"/>
        </w:trPr>
        <w:tc>
          <w:tcPr>
            <w:tcW w:w="2500" w:type="pct"/>
            <w:vMerge/>
          </w:tcPr>
          <w:p w14:paraId="5348FBB1" w14:textId="77777777" w:rsidR="007E3FAA" w:rsidRPr="0027216C" w:rsidRDefault="007E3FAA">
            <w:pPr>
              <w:pStyle w:val="TD"/>
              <w:rPr>
                <w:rFonts w:cs="Segoe UI"/>
                <w:lang w:val="en-AU"/>
              </w:rPr>
            </w:pPr>
          </w:p>
        </w:tc>
        <w:tc>
          <w:tcPr>
            <w:tcW w:w="1417" w:type="pct"/>
          </w:tcPr>
          <w:p w14:paraId="31EC9FDA" w14:textId="77777777" w:rsidR="007E3FAA" w:rsidRPr="0027216C" w:rsidRDefault="00A42038" w:rsidP="003752C4">
            <w:pPr>
              <w:pStyle w:val="TD"/>
              <w:jc w:val="center"/>
              <w:rPr>
                <w:rFonts w:eastAsia="Times New Roman" w:cs="Segoe UI"/>
                <w:lang w:val="en-AU" w:eastAsia="de-AT" w:bidi="ar-SA"/>
              </w:rPr>
            </w:pPr>
            <w:r w:rsidRPr="0027216C">
              <w:rPr>
                <w:rFonts w:eastAsia="Times New Roman" w:cs="Segoe UI"/>
                <w:lang w:val="en-AU" w:eastAsia="de-AT" w:bidi="ar-SA"/>
              </w:rPr>
              <w:t>low, very low</w:t>
            </w:r>
          </w:p>
        </w:tc>
        <w:tc>
          <w:tcPr>
            <w:tcW w:w="1083" w:type="pct"/>
            <w:noWrap/>
          </w:tcPr>
          <w:p w14:paraId="5DBD2CE9" w14:textId="77777777" w:rsidR="007E3FAA" w:rsidRPr="0027216C" w:rsidRDefault="00A42038" w:rsidP="003752C4">
            <w:pPr>
              <w:pStyle w:val="TD"/>
              <w:jc w:val="center"/>
              <w:rPr>
                <w:rFonts w:eastAsia="Times New Roman" w:cs="Segoe UI"/>
                <w:lang w:val="en-AU" w:eastAsia="de-AT" w:bidi="ar-SA"/>
              </w:rPr>
            </w:pPr>
            <w:r w:rsidRPr="0027216C">
              <w:rPr>
                <w:rFonts w:eastAsia="Times New Roman" w:cs="Segoe UI"/>
                <w:lang w:eastAsia="de-AT" w:bidi="ar-SA"/>
              </w:rPr>
              <w:t>schwach</w:t>
            </w:r>
          </w:p>
        </w:tc>
      </w:tr>
    </w:tbl>
    <w:p w14:paraId="29C60486" w14:textId="3BC20103" w:rsidR="007E3FAA" w:rsidRPr="0027216C" w:rsidRDefault="00A42038">
      <w:pPr>
        <w:pStyle w:val="Beschriftung-Quelle"/>
        <w:rPr>
          <w:rFonts w:eastAsia="Times New Roman"/>
        </w:rPr>
      </w:pPr>
      <w:r w:rsidRPr="0027216C">
        <w:rPr>
          <w:rFonts w:eastAsia="Times New Roman"/>
          <w:lang w:eastAsia="de-AT" w:bidi="ar-SA"/>
        </w:rPr>
        <w:t>Darstellung</w:t>
      </w:r>
      <w:r w:rsidR="0010617F">
        <w:rPr>
          <w:rFonts w:eastAsia="Times New Roman"/>
          <w:lang w:eastAsia="de-AT" w:bidi="ar-SA"/>
        </w:rPr>
        <w:t>:</w:t>
      </w:r>
      <w:r w:rsidRPr="0027216C">
        <w:rPr>
          <w:rFonts w:eastAsia="Times New Roman"/>
          <w:lang w:eastAsia="de-AT" w:bidi="ar-SA"/>
        </w:rPr>
        <w:t xml:space="preserve"> GÖG </w:t>
      </w:r>
      <w:r w:rsidR="0010617F">
        <w:rPr>
          <w:rFonts w:eastAsia="Times New Roman"/>
          <w:lang w:eastAsia="de-AT" w:bidi="ar-SA"/>
        </w:rPr>
        <w:t>(</w:t>
      </w:r>
      <w:r w:rsidRPr="0027216C">
        <w:rPr>
          <w:rFonts w:eastAsia="Times New Roman"/>
          <w:lang w:eastAsia="de-AT" w:bidi="ar-SA"/>
        </w:rPr>
        <w:t>2023</w:t>
      </w:r>
      <w:r w:rsidR="0010617F">
        <w:rPr>
          <w:rFonts w:eastAsia="Times New Roman"/>
          <w:lang w:eastAsia="de-AT" w:bidi="ar-SA"/>
        </w:rPr>
        <w:t>)</w:t>
      </w:r>
    </w:p>
    <w:p w14:paraId="4E073178" w14:textId="5CD9C450" w:rsidR="007E3FAA" w:rsidRPr="0027216C" w:rsidRDefault="003752C4" w:rsidP="003752C4">
      <w:pPr>
        <w:pStyle w:val="Beschriftung"/>
        <w:rPr>
          <w:rFonts w:cs="Segoe UI"/>
        </w:rPr>
      </w:pPr>
      <w:r>
        <w:t xml:space="preserve">Tabelle </w:t>
      </w:r>
      <w:fldSimple w:instr=" SEQ Tabelle \* ARABIC ">
        <w:r w:rsidR="00AE5135">
          <w:rPr>
            <w:noProof/>
          </w:rPr>
          <w:t>3</w:t>
        </w:r>
      </w:fldSimple>
      <w:r w:rsidR="00A42038" w:rsidRPr="0027216C">
        <w:rPr>
          <w:rFonts w:cs="Segoe UI"/>
        </w:rPr>
        <w:t>: Empfehlungsgrade und Formulierung für Empfehlungen im Qualitätsstandard</w:t>
      </w:r>
    </w:p>
    <w:tbl>
      <w:tblPr>
        <w:tblStyle w:val="GGRahmen"/>
        <w:tblW w:w="5000" w:type="pct"/>
        <w:tblLook w:val="04A0" w:firstRow="1" w:lastRow="0" w:firstColumn="1" w:lastColumn="0" w:noHBand="0" w:noVBand="1"/>
      </w:tblPr>
      <w:tblGrid>
        <w:gridCol w:w="2039"/>
        <w:gridCol w:w="2170"/>
        <w:gridCol w:w="2123"/>
        <w:gridCol w:w="2059"/>
      </w:tblGrid>
      <w:tr w:rsidR="007E3FAA" w:rsidRPr="0027216C" w14:paraId="41A3B4F9" w14:textId="77777777" w:rsidTr="00AE5135">
        <w:trPr>
          <w:cnfStyle w:val="100000000000" w:firstRow="1" w:lastRow="0" w:firstColumn="0" w:lastColumn="0" w:oddVBand="0" w:evenVBand="0" w:oddHBand="0" w:evenHBand="0" w:firstRowFirstColumn="0" w:firstRowLastColumn="0" w:lastRowFirstColumn="0" w:lastRowLastColumn="0"/>
          <w:trHeight w:val="125"/>
        </w:trPr>
        <w:tc>
          <w:tcPr>
            <w:tcW w:w="1215" w:type="pct"/>
          </w:tcPr>
          <w:p w14:paraId="0501A536" w14:textId="77777777" w:rsidR="007E3FAA" w:rsidRPr="00AE5135" w:rsidRDefault="00A42038" w:rsidP="00E65D6A">
            <w:pPr>
              <w:pStyle w:val="THEbene1"/>
              <w:rPr>
                <w:b w:val="0"/>
                <w:bCs/>
              </w:rPr>
            </w:pPr>
            <w:r w:rsidRPr="00AE5135">
              <w:rPr>
                <w:b w:val="0"/>
                <w:bCs/>
              </w:rPr>
              <w:t>Empfehlungsgrad</w:t>
            </w:r>
          </w:p>
        </w:tc>
        <w:tc>
          <w:tcPr>
            <w:tcW w:w="1293" w:type="pct"/>
          </w:tcPr>
          <w:p w14:paraId="2B2BA936" w14:textId="77777777" w:rsidR="007E3FAA" w:rsidRPr="00AE5135" w:rsidRDefault="00A42038" w:rsidP="00E65D6A">
            <w:pPr>
              <w:pStyle w:val="THEbene1"/>
              <w:rPr>
                <w:b w:val="0"/>
                <w:bCs/>
              </w:rPr>
            </w:pPr>
            <w:r w:rsidRPr="00AE5135">
              <w:rPr>
                <w:b w:val="0"/>
                <w:bCs/>
              </w:rPr>
              <w:t>Beschreibung</w:t>
            </w:r>
          </w:p>
        </w:tc>
        <w:tc>
          <w:tcPr>
            <w:tcW w:w="1265" w:type="pct"/>
          </w:tcPr>
          <w:p w14:paraId="450756FB" w14:textId="77777777" w:rsidR="007E3FAA" w:rsidRPr="00AE5135" w:rsidRDefault="00A42038" w:rsidP="00E65D6A">
            <w:pPr>
              <w:pStyle w:val="THEbene1"/>
              <w:rPr>
                <w:b w:val="0"/>
                <w:bCs/>
              </w:rPr>
            </w:pPr>
            <w:r w:rsidRPr="00AE5135">
              <w:rPr>
                <w:b w:val="0"/>
                <w:bCs/>
              </w:rPr>
              <w:t>Formulierung</w:t>
            </w:r>
          </w:p>
        </w:tc>
        <w:tc>
          <w:tcPr>
            <w:tcW w:w="1227" w:type="pct"/>
          </w:tcPr>
          <w:p w14:paraId="45A0B745" w14:textId="77777777" w:rsidR="007E3FAA" w:rsidRPr="00AE5135" w:rsidRDefault="00A42038" w:rsidP="00E65D6A">
            <w:pPr>
              <w:pStyle w:val="THEbene1"/>
              <w:rPr>
                <w:b w:val="0"/>
                <w:bCs/>
              </w:rPr>
            </w:pPr>
            <w:r w:rsidRPr="00AE5135">
              <w:rPr>
                <w:b w:val="0"/>
                <w:bCs/>
              </w:rPr>
              <w:t>Symbol</w:t>
            </w:r>
          </w:p>
        </w:tc>
      </w:tr>
      <w:tr w:rsidR="007E3FAA" w:rsidRPr="0027216C" w14:paraId="4C261A77" w14:textId="77777777" w:rsidTr="00AE5135">
        <w:trPr>
          <w:trHeight w:val="350"/>
        </w:trPr>
        <w:tc>
          <w:tcPr>
            <w:tcW w:w="1215" w:type="pct"/>
          </w:tcPr>
          <w:p w14:paraId="4062854E" w14:textId="77777777" w:rsidR="007E3FAA" w:rsidRPr="0027216C" w:rsidRDefault="00A42038">
            <w:pPr>
              <w:pStyle w:val="TD"/>
              <w:jc w:val="center"/>
              <w:rPr>
                <w:rFonts w:eastAsia="Times New Roman" w:cs="Segoe UI"/>
              </w:rPr>
            </w:pPr>
            <w:r w:rsidRPr="0027216C">
              <w:rPr>
                <w:rFonts w:eastAsia="Times New Roman" w:cs="Segoe UI"/>
              </w:rPr>
              <w:t>A</w:t>
            </w:r>
          </w:p>
        </w:tc>
        <w:tc>
          <w:tcPr>
            <w:tcW w:w="1293" w:type="pct"/>
          </w:tcPr>
          <w:p w14:paraId="1EA0DACD" w14:textId="77777777" w:rsidR="007E3FAA" w:rsidRPr="0027216C" w:rsidRDefault="00A42038">
            <w:pPr>
              <w:pStyle w:val="TD"/>
              <w:jc w:val="center"/>
              <w:rPr>
                <w:rFonts w:eastAsia="Times New Roman" w:cs="Segoe UI"/>
              </w:rPr>
            </w:pPr>
            <w:r w:rsidRPr="0027216C">
              <w:rPr>
                <w:rFonts w:eastAsia="Times New Roman" w:cs="Segoe UI"/>
              </w:rPr>
              <w:t>starke Empfehlung</w:t>
            </w:r>
          </w:p>
        </w:tc>
        <w:tc>
          <w:tcPr>
            <w:tcW w:w="1265" w:type="pct"/>
          </w:tcPr>
          <w:p w14:paraId="1BF6BFAB" w14:textId="77777777" w:rsidR="007E3FAA" w:rsidRPr="0027216C" w:rsidRDefault="00A42038">
            <w:pPr>
              <w:pStyle w:val="TD"/>
              <w:jc w:val="center"/>
              <w:rPr>
                <w:rFonts w:eastAsia="Times New Roman" w:cs="Segoe UI"/>
              </w:rPr>
            </w:pPr>
            <w:r w:rsidRPr="0027216C">
              <w:rPr>
                <w:rFonts w:eastAsia="Times New Roman" w:cs="Segoe UI"/>
              </w:rPr>
              <w:t>soll (nicht)</w:t>
            </w:r>
          </w:p>
        </w:tc>
        <w:tc>
          <w:tcPr>
            <w:tcW w:w="1227" w:type="pct"/>
          </w:tcPr>
          <w:p w14:paraId="6423CAC0" w14:textId="77777777" w:rsidR="007E3FAA" w:rsidRPr="0027216C" w:rsidRDefault="00A42038">
            <w:pPr>
              <w:pStyle w:val="TD"/>
              <w:jc w:val="center"/>
              <w:rPr>
                <w:rFonts w:eastAsia="Times New Roman" w:cs="Segoe UI"/>
              </w:rPr>
            </w:pPr>
            <w:r w:rsidRPr="0027216C">
              <w:rPr>
                <w:rFonts w:eastAsia="Times New Roman" w:cs="Segoe UI"/>
              </w:rPr>
              <w:t>↑↑ (↓↓)</w:t>
            </w:r>
          </w:p>
        </w:tc>
      </w:tr>
      <w:tr w:rsidR="007E3FAA" w:rsidRPr="0027216C" w14:paraId="043D80A1" w14:textId="77777777" w:rsidTr="00AE5135">
        <w:trPr>
          <w:trHeight w:val="273"/>
        </w:trPr>
        <w:tc>
          <w:tcPr>
            <w:tcW w:w="1215" w:type="pct"/>
          </w:tcPr>
          <w:p w14:paraId="6CD22497" w14:textId="77777777" w:rsidR="007E3FAA" w:rsidRPr="0027216C" w:rsidRDefault="00A42038">
            <w:pPr>
              <w:pStyle w:val="TD"/>
              <w:jc w:val="center"/>
              <w:rPr>
                <w:rFonts w:eastAsia="Times New Roman" w:cs="Segoe UI"/>
              </w:rPr>
            </w:pPr>
            <w:r w:rsidRPr="0027216C">
              <w:rPr>
                <w:rFonts w:eastAsia="Times New Roman" w:cs="Segoe UI"/>
              </w:rPr>
              <w:t>B</w:t>
            </w:r>
          </w:p>
        </w:tc>
        <w:tc>
          <w:tcPr>
            <w:tcW w:w="1293" w:type="pct"/>
          </w:tcPr>
          <w:p w14:paraId="54D29B22" w14:textId="77777777" w:rsidR="007E3FAA" w:rsidRPr="0027216C" w:rsidRDefault="00A42038">
            <w:pPr>
              <w:pStyle w:val="TD"/>
              <w:jc w:val="center"/>
              <w:rPr>
                <w:rFonts w:eastAsia="Times New Roman" w:cs="Segoe UI"/>
              </w:rPr>
            </w:pPr>
            <w:r w:rsidRPr="0027216C">
              <w:rPr>
                <w:rFonts w:eastAsia="Times New Roman" w:cs="Segoe UI"/>
              </w:rPr>
              <w:t>Empfehlung</w:t>
            </w:r>
          </w:p>
        </w:tc>
        <w:tc>
          <w:tcPr>
            <w:tcW w:w="1265" w:type="pct"/>
          </w:tcPr>
          <w:p w14:paraId="2E963EF2" w14:textId="77777777" w:rsidR="007E3FAA" w:rsidRPr="0027216C" w:rsidRDefault="00A42038">
            <w:pPr>
              <w:pStyle w:val="TD"/>
              <w:jc w:val="center"/>
              <w:rPr>
                <w:rFonts w:eastAsia="Times New Roman" w:cs="Segoe UI"/>
              </w:rPr>
            </w:pPr>
            <w:r w:rsidRPr="0027216C">
              <w:rPr>
                <w:rFonts w:eastAsia="Times New Roman" w:cs="Segoe UI"/>
              </w:rPr>
              <w:t>sollte (nicht)</w:t>
            </w:r>
          </w:p>
        </w:tc>
        <w:tc>
          <w:tcPr>
            <w:tcW w:w="1227" w:type="pct"/>
          </w:tcPr>
          <w:p w14:paraId="54F98A5A" w14:textId="77777777" w:rsidR="007E3FAA" w:rsidRPr="0027216C" w:rsidRDefault="00A42038">
            <w:pPr>
              <w:pStyle w:val="TD"/>
              <w:jc w:val="center"/>
              <w:rPr>
                <w:rFonts w:eastAsia="Times New Roman" w:cs="Segoe UI"/>
              </w:rPr>
            </w:pPr>
            <w:r w:rsidRPr="0027216C">
              <w:rPr>
                <w:rFonts w:eastAsia="Times New Roman" w:cs="Segoe UI"/>
              </w:rPr>
              <w:t>↑ (↓)</w:t>
            </w:r>
          </w:p>
        </w:tc>
      </w:tr>
      <w:tr w:rsidR="007E3FAA" w:rsidRPr="0027216C" w14:paraId="300B61BC" w14:textId="77777777" w:rsidTr="00AE5135">
        <w:trPr>
          <w:trHeight w:val="116"/>
        </w:trPr>
        <w:tc>
          <w:tcPr>
            <w:tcW w:w="1215" w:type="pct"/>
          </w:tcPr>
          <w:p w14:paraId="467C6379" w14:textId="77777777" w:rsidR="007E3FAA" w:rsidRPr="0027216C" w:rsidRDefault="00A42038">
            <w:pPr>
              <w:pStyle w:val="TD"/>
              <w:jc w:val="center"/>
              <w:rPr>
                <w:rFonts w:eastAsia="Times New Roman" w:cs="Segoe UI"/>
              </w:rPr>
            </w:pPr>
            <w:r w:rsidRPr="0027216C">
              <w:rPr>
                <w:rFonts w:eastAsia="Times New Roman" w:cs="Segoe UI"/>
              </w:rPr>
              <w:t>0</w:t>
            </w:r>
          </w:p>
        </w:tc>
        <w:tc>
          <w:tcPr>
            <w:tcW w:w="1293" w:type="pct"/>
          </w:tcPr>
          <w:p w14:paraId="2D0101A2" w14:textId="77777777" w:rsidR="007E3FAA" w:rsidRPr="0027216C" w:rsidRDefault="00A42038">
            <w:pPr>
              <w:pStyle w:val="TD"/>
              <w:jc w:val="center"/>
              <w:rPr>
                <w:rFonts w:eastAsia="Times New Roman" w:cs="Segoe UI"/>
              </w:rPr>
            </w:pPr>
            <w:r w:rsidRPr="0027216C">
              <w:rPr>
                <w:rFonts w:eastAsia="Times New Roman" w:cs="Segoe UI"/>
              </w:rPr>
              <w:t>offen</w:t>
            </w:r>
          </w:p>
        </w:tc>
        <w:tc>
          <w:tcPr>
            <w:tcW w:w="1265" w:type="pct"/>
          </w:tcPr>
          <w:p w14:paraId="1AA8742D" w14:textId="77777777" w:rsidR="007E3FAA" w:rsidRPr="0027216C" w:rsidRDefault="00A42038">
            <w:pPr>
              <w:pStyle w:val="TD"/>
              <w:jc w:val="center"/>
              <w:rPr>
                <w:rFonts w:eastAsia="Times New Roman" w:cs="Segoe UI"/>
              </w:rPr>
            </w:pPr>
            <w:proofErr w:type="gramStart"/>
            <w:r w:rsidRPr="0027216C">
              <w:rPr>
                <w:rFonts w:eastAsia="Times New Roman" w:cs="Segoe UI"/>
              </w:rPr>
              <w:t>kann</w:t>
            </w:r>
            <w:proofErr w:type="gramEnd"/>
          </w:p>
        </w:tc>
        <w:tc>
          <w:tcPr>
            <w:tcW w:w="1227" w:type="pct"/>
          </w:tcPr>
          <w:p w14:paraId="4B7DB166" w14:textId="77777777" w:rsidR="007E3FAA" w:rsidRPr="0027216C" w:rsidRDefault="00A42038">
            <w:pPr>
              <w:pStyle w:val="TD"/>
              <w:jc w:val="center"/>
              <w:rPr>
                <w:rFonts w:eastAsia="Times New Roman" w:cs="Segoe UI"/>
              </w:rPr>
            </w:pPr>
            <w:r w:rsidRPr="0027216C">
              <w:rPr>
                <w:rFonts w:eastAsia="Times New Roman" w:cs="Segoe UI"/>
              </w:rPr>
              <w:t>↔</w:t>
            </w:r>
          </w:p>
        </w:tc>
      </w:tr>
    </w:tbl>
    <w:p w14:paraId="3FB12E4E" w14:textId="17551296" w:rsidR="007E3FAA" w:rsidRPr="0027216C" w:rsidRDefault="00A42038">
      <w:pPr>
        <w:pStyle w:val="Beschriftung-Quelle"/>
        <w:rPr>
          <w:bCs w:val="0"/>
          <w:color w:val="FF0000"/>
        </w:rPr>
      </w:pPr>
      <w:r w:rsidRPr="0027216C">
        <w:t>Quelle: AWMF</w:t>
      </w:r>
      <w:r w:rsidR="00CF7505">
        <w:t xml:space="preserve"> (</w:t>
      </w:r>
      <w:r w:rsidR="00204D4A" w:rsidRPr="0027216C">
        <w:t>202</w:t>
      </w:r>
      <w:r w:rsidR="00204D4A">
        <w:t>5</w:t>
      </w:r>
      <w:r w:rsidR="00CF7505">
        <w:t>)</w:t>
      </w:r>
    </w:p>
    <w:p w14:paraId="0BC0C630" w14:textId="77777777" w:rsidR="007A1880" w:rsidRDefault="007A1880">
      <w:pPr>
        <w:spacing w:before="0" w:line="240" w:lineRule="auto"/>
        <w:jc w:val="left"/>
        <w:rPr>
          <w:rFonts w:cs="Segoe UI"/>
        </w:rPr>
      </w:pPr>
      <w:r>
        <w:rPr>
          <w:rFonts w:cs="Segoe UI"/>
        </w:rPr>
        <w:br w:type="page"/>
      </w:r>
    </w:p>
    <w:p w14:paraId="2B1BD492" w14:textId="3B7A7452" w:rsidR="007A1880" w:rsidRDefault="007A1880" w:rsidP="007A1880">
      <w:pPr>
        <w:pStyle w:val="berschrift"/>
      </w:pPr>
      <w:bookmarkStart w:id="115" w:name="_Toc211342083"/>
      <w:r w:rsidRPr="007A1880">
        <w:lastRenderedPageBreak/>
        <w:t>Urheber- und Rechteangaben Symbolbilder</w:t>
      </w:r>
      <w:bookmarkEnd w:id="115"/>
    </w:p>
    <w:p w14:paraId="7610CAE9" w14:textId="7D7FCE57" w:rsidR="007E3FAA" w:rsidRPr="0027216C" w:rsidRDefault="00A42038">
      <w:pPr>
        <w:tabs>
          <w:tab w:val="left" w:pos="6599"/>
        </w:tabs>
        <w:spacing w:after="240"/>
        <w:rPr>
          <w:rFonts w:cs="Segoe UI"/>
        </w:rPr>
      </w:pPr>
      <w:r w:rsidRPr="0027216C">
        <w:rPr>
          <w:rFonts w:cs="Segoe UI"/>
        </w:rPr>
        <w:t xml:space="preserve">Die im vorliegenden Dokument verwendeten Symbolbilder (Icons) stammen aus „The </w:t>
      </w:r>
      <w:proofErr w:type="spellStart"/>
      <w:r w:rsidRPr="0027216C">
        <w:rPr>
          <w:rFonts w:cs="Segoe UI"/>
        </w:rPr>
        <w:t>Noun</w:t>
      </w:r>
      <w:proofErr w:type="spellEnd"/>
      <w:r w:rsidRPr="0027216C">
        <w:rPr>
          <w:rFonts w:cs="Segoe UI"/>
        </w:rPr>
        <w:t xml:space="preserve"> Project“ (</w:t>
      </w:r>
      <w:hyperlink r:id="rId78" w:history="1">
        <w:r w:rsidRPr="0027216C">
          <w:rPr>
            <w:rStyle w:val="Hyperlink"/>
            <w:rFonts w:cs="Segoe UI"/>
          </w:rPr>
          <w:t>https://thenounproject.com/</w:t>
        </w:r>
      </w:hyperlink>
      <w:r w:rsidRPr="0027216C">
        <w:rPr>
          <w:rFonts w:cs="Segoe UI"/>
        </w:rPr>
        <w:t>). Nachfolgend sind für die einzelnen Symbolbilder die Urheber- und Rechteangaben betreffend die nicht kommerzielle Nutzung dargestellt.</w:t>
      </w:r>
    </w:p>
    <w:tbl>
      <w:tblPr>
        <w:tblStyle w:val="GGRahmen"/>
        <w:tblW w:w="5000" w:type="pct"/>
        <w:tblLook w:val="04A0" w:firstRow="1" w:lastRow="0" w:firstColumn="1" w:lastColumn="0" w:noHBand="0" w:noVBand="1"/>
      </w:tblPr>
      <w:tblGrid>
        <w:gridCol w:w="1635"/>
        <w:gridCol w:w="6756"/>
      </w:tblGrid>
      <w:tr w:rsidR="00B2073A" w:rsidRPr="00595E44" w14:paraId="5EF5FD6A" w14:textId="77777777" w:rsidTr="00AE5135">
        <w:trPr>
          <w:cnfStyle w:val="100000000000" w:firstRow="1" w:lastRow="0" w:firstColumn="0" w:lastColumn="0" w:oddVBand="0" w:evenVBand="0" w:oddHBand="0" w:evenHBand="0" w:firstRowFirstColumn="0" w:firstRowLastColumn="0" w:lastRowFirstColumn="0" w:lastRowLastColumn="0"/>
          <w:trHeight w:val="964"/>
        </w:trPr>
        <w:tc>
          <w:tcPr>
            <w:tcW w:w="974" w:type="pct"/>
          </w:tcPr>
          <w:p w14:paraId="7D4552B0" w14:textId="77777777" w:rsidR="007E3FAA" w:rsidRPr="0027216C" w:rsidRDefault="00A42038" w:rsidP="00AE5135">
            <w:pPr>
              <w:pStyle w:val="Tabellenkopf"/>
              <w:keepNext w:val="0"/>
              <w:keepLines w:val="0"/>
              <w:widowControl w:val="0"/>
              <w:spacing w:before="40" w:after="40"/>
              <w:jc w:val="both"/>
              <w:rPr>
                <w:rFonts w:cs="Segoe UI"/>
                <w:noProof/>
                <w:lang w:eastAsia="de-AT" w:bidi="ar-SA"/>
              </w:rPr>
            </w:pPr>
            <w:r w:rsidRPr="0027216C">
              <w:rPr>
                <w:noProof/>
                <w:lang w:eastAsia="de-AT" w:bidi="ar-SA"/>
              </w:rPr>
              <w:drawing>
                <wp:anchor distT="0" distB="0" distL="114300" distR="114300" simplePos="0" relativeHeight="251748352" behindDoc="0" locked="0" layoutInCell="1" allowOverlap="1" wp14:anchorId="1016D060" wp14:editId="5644AD3E">
                  <wp:simplePos x="0" y="0"/>
                  <wp:positionH relativeFrom="column">
                    <wp:posOffset>23495</wp:posOffset>
                  </wp:positionH>
                  <wp:positionV relativeFrom="page">
                    <wp:posOffset>116205</wp:posOffset>
                  </wp:positionV>
                  <wp:extent cx="559435" cy="480060"/>
                  <wp:effectExtent l="0" t="0" r="0" b="0"/>
                  <wp:wrapSquare wrapText="bothSides"/>
                  <wp:docPr id="179037476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846" name="Grafik 1" descr="Ein Bild, das Schwarz, Dunkelheit enthält.&#10;&#10;Automatisch generierte Beschreibung"/>
                          <pic:cNvPicPr/>
                        </pic:nvPicPr>
                        <pic:blipFill rotWithShape="1">
                          <a:blip r:embed="rId13" cstate="print">
                            <a:extLst>
                              <a:ext uri="{28A0092B-C50C-407E-A947-70E740481C1C}">
                                <a14:useLocalDpi xmlns:a14="http://schemas.microsoft.com/office/drawing/2010/main" val="0"/>
                              </a:ext>
                            </a:extLst>
                          </a:blip>
                          <a:srcRect b="14105"/>
                          <a:stretch/>
                        </pic:blipFill>
                        <pic:spPr bwMode="auto">
                          <a:xfrm>
                            <a:off x="0" y="0"/>
                            <a:ext cx="559435"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26" w:type="pct"/>
          </w:tcPr>
          <w:p w14:paraId="6782287D" w14:textId="6A7076A5" w:rsidR="007E3FAA" w:rsidRPr="00AE5135" w:rsidRDefault="00D74C52">
            <w:pPr>
              <w:pStyle w:val="TD"/>
              <w:widowControl w:val="0"/>
              <w:rPr>
                <w:rFonts w:cs="Segoe UI"/>
                <w:b w:val="0"/>
                <w:bCs/>
                <w:sz w:val="18"/>
                <w:szCs w:val="18"/>
                <w:lang w:val="en-GB"/>
              </w:rPr>
            </w:pPr>
            <w:r w:rsidRPr="00AE5135">
              <w:rPr>
                <w:rFonts w:cs="Segoe UI"/>
                <w:b w:val="0"/>
                <w:bCs/>
                <w:sz w:val="18"/>
                <w:szCs w:val="18"/>
                <w:lang w:val="en-GB"/>
              </w:rPr>
              <w:t>„</w:t>
            </w:r>
            <w:proofErr w:type="gramStart"/>
            <w:r w:rsidR="00A42038" w:rsidRPr="00AE5135">
              <w:rPr>
                <w:rFonts w:cs="Segoe UI"/>
                <w:b w:val="0"/>
                <w:bCs/>
                <w:sz w:val="18"/>
                <w:szCs w:val="18"/>
                <w:lang w:val="en-GB"/>
              </w:rPr>
              <w:t>prevention</w:t>
            </w:r>
            <w:r w:rsidRPr="00AE5135">
              <w:rPr>
                <w:rFonts w:cs="Segoe UI"/>
                <w:b w:val="0"/>
                <w:bCs/>
                <w:sz w:val="18"/>
                <w:szCs w:val="18"/>
                <w:lang w:val="en-GB"/>
              </w:rPr>
              <w:t>“</w:t>
            </w:r>
            <w:r w:rsidR="00A42038" w:rsidRPr="00AE5135">
              <w:rPr>
                <w:rFonts w:cs="Segoe UI"/>
                <w:b w:val="0"/>
                <w:bCs/>
                <w:sz w:val="18"/>
                <w:szCs w:val="18"/>
                <w:lang w:val="en-GB"/>
              </w:rPr>
              <w:t xml:space="preserve"> von</w:t>
            </w:r>
            <w:proofErr w:type="gramEnd"/>
            <w:r w:rsidR="00A42038" w:rsidRPr="00AE5135">
              <w:rPr>
                <w:rFonts w:cs="Segoe UI"/>
                <w:b w:val="0"/>
                <w:bCs/>
                <w:sz w:val="18"/>
                <w:szCs w:val="18"/>
                <w:lang w:val="en-GB"/>
              </w:rPr>
              <w:t xml:space="preserve"> </w:t>
            </w:r>
            <w:proofErr w:type="spellStart"/>
            <w:r w:rsidR="00A0350A" w:rsidRPr="00AE5135">
              <w:rPr>
                <w:rFonts w:cs="Segoe UI"/>
                <w:b w:val="0"/>
                <w:bCs/>
                <w:sz w:val="18"/>
                <w:szCs w:val="18"/>
                <w:lang w:val="en-GB"/>
              </w:rPr>
              <w:t>RanuKumbolo.lab</w:t>
            </w:r>
            <w:proofErr w:type="spellEnd"/>
            <w:r w:rsidR="00A42038" w:rsidRPr="00AE5135">
              <w:rPr>
                <w:rFonts w:cs="Segoe UI"/>
                <w:b w:val="0"/>
                <w:bCs/>
                <w:sz w:val="18"/>
                <w:szCs w:val="18"/>
                <w:lang w:val="en-GB"/>
              </w:rPr>
              <w:t xml:space="preserve">, </w:t>
            </w:r>
            <w:proofErr w:type="spellStart"/>
            <w:r w:rsidR="00A42038" w:rsidRPr="00AE5135">
              <w:rPr>
                <w:rFonts w:cs="Segoe UI"/>
                <w:b w:val="0"/>
                <w:bCs/>
                <w:sz w:val="18"/>
                <w:szCs w:val="18"/>
                <w:lang w:val="en-GB"/>
              </w:rPr>
              <w:t>Lizenz</w:t>
            </w:r>
            <w:proofErr w:type="spellEnd"/>
            <w:r w:rsidR="00A42038" w:rsidRPr="00AE5135">
              <w:rPr>
                <w:rFonts w:cs="Segoe UI"/>
                <w:b w:val="0"/>
                <w:bCs/>
                <w:sz w:val="18"/>
                <w:szCs w:val="18"/>
                <w:lang w:val="en-GB"/>
              </w:rPr>
              <w:t>: Creative Commons CC BY 3.0</w:t>
            </w:r>
          </w:p>
          <w:p w14:paraId="07583BAD" w14:textId="77777777" w:rsidR="007E3FAA" w:rsidRPr="0027216C" w:rsidRDefault="00A42038">
            <w:pPr>
              <w:pStyle w:val="TD"/>
              <w:widowControl w:val="0"/>
              <w:rPr>
                <w:rFonts w:cs="Segoe UI"/>
                <w:sz w:val="18"/>
                <w:szCs w:val="18"/>
                <w:lang w:val="en-GB"/>
              </w:rPr>
            </w:pPr>
            <w:hyperlink r:id="rId79" w:history="1">
              <w:r w:rsidRPr="00AE5135">
                <w:rPr>
                  <w:rStyle w:val="Hyperlink"/>
                  <w:rFonts w:cs="Segoe UI"/>
                  <w:b w:val="0"/>
                  <w:bCs/>
                  <w:sz w:val="18"/>
                  <w:szCs w:val="18"/>
                  <w:lang w:val="en-GB"/>
                </w:rPr>
                <w:t>https://thenounproject.com/icon/prevention-6874728/</w:t>
              </w:r>
            </w:hyperlink>
          </w:p>
        </w:tc>
      </w:tr>
      <w:tr w:rsidR="00B2073A" w:rsidRPr="00595E44" w14:paraId="53182545" w14:textId="77777777" w:rsidTr="00AE5135">
        <w:trPr>
          <w:trHeight w:val="964"/>
        </w:trPr>
        <w:tc>
          <w:tcPr>
            <w:tcW w:w="974" w:type="pct"/>
          </w:tcPr>
          <w:p w14:paraId="1E07B3BC" w14:textId="77777777" w:rsidR="007E3FAA" w:rsidRPr="0027216C" w:rsidRDefault="00A42038">
            <w:pPr>
              <w:pStyle w:val="Tabellenkopf"/>
              <w:keepNext w:val="0"/>
              <w:keepLines w:val="0"/>
              <w:widowControl w:val="0"/>
              <w:spacing w:before="40" w:after="40"/>
              <w:rPr>
                <w:rFonts w:cs="Segoe UI"/>
                <w:lang w:val="en-GB"/>
              </w:rPr>
            </w:pPr>
            <w:r w:rsidRPr="0027216C">
              <w:rPr>
                <w:rFonts w:cs="Segoe UI"/>
                <w:noProof/>
                <w:lang w:eastAsia="de-AT" w:bidi="ar-SA"/>
              </w:rPr>
              <w:drawing>
                <wp:anchor distT="0" distB="0" distL="114300" distR="114300" simplePos="0" relativeHeight="251728896" behindDoc="1" locked="0" layoutInCell="1" allowOverlap="1" wp14:anchorId="23B71079" wp14:editId="40FFA97B">
                  <wp:simplePos x="0" y="0"/>
                  <wp:positionH relativeFrom="margin">
                    <wp:posOffset>48260</wp:posOffset>
                  </wp:positionH>
                  <wp:positionV relativeFrom="paragraph">
                    <wp:posOffset>123046</wp:posOffset>
                  </wp:positionV>
                  <wp:extent cx="536400" cy="468000"/>
                  <wp:effectExtent l="0" t="0" r="0" b="8255"/>
                  <wp:wrapTight wrapText="bothSides">
                    <wp:wrapPolygon edited="0">
                      <wp:start x="0" y="0"/>
                      <wp:lineTo x="0" y="21102"/>
                      <wp:lineTo x="20730" y="21102"/>
                      <wp:lineTo x="20730" y="0"/>
                      <wp:lineTo x="0" y="0"/>
                    </wp:wrapPolygon>
                  </wp:wrapTight>
                  <wp:docPr id="14" name="Grafik 14" descr="Symbolbild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6400" cy="468000"/>
                          </a:xfrm>
                          <a:prstGeom prst="rect">
                            <a:avLst/>
                          </a:prstGeom>
                        </pic:spPr>
                      </pic:pic>
                    </a:graphicData>
                  </a:graphic>
                  <wp14:sizeRelH relativeFrom="page">
                    <wp14:pctWidth>0</wp14:pctWidth>
                  </wp14:sizeRelH>
                  <wp14:sizeRelV relativeFrom="page">
                    <wp14:pctHeight>0</wp14:pctHeight>
                  </wp14:sizeRelV>
                </wp:anchor>
              </w:drawing>
            </w:r>
          </w:p>
        </w:tc>
        <w:tc>
          <w:tcPr>
            <w:tcW w:w="4026" w:type="pct"/>
          </w:tcPr>
          <w:p w14:paraId="2887002D" w14:textId="0A4F0F93" w:rsidR="007E3FAA" w:rsidRPr="0027216C" w:rsidRDefault="00D74C52">
            <w:pPr>
              <w:pStyle w:val="TD"/>
              <w:widowControl w:val="0"/>
              <w:rPr>
                <w:rFonts w:cs="Segoe UI"/>
                <w:sz w:val="18"/>
                <w:szCs w:val="18"/>
                <w:lang w:val="en-GB"/>
              </w:rPr>
            </w:pPr>
            <w:r>
              <w:rPr>
                <w:rFonts w:cs="Segoe UI"/>
                <w:sz w:val="18"/>
                <w:szCs w:val="18"/>
                <w:lang w:val="en-GB"/>
              </w:rPr>
              <w:t>„</w:t>
            </w:r>
            <w:proofErr w:type="gramStart"/>
            <w:r w:rsidR="00A42038" w:rsidRPr="0027216C">
              <w:rPr>
                <w:rFonts w:cs="Segoe UI"/>
                <w:sz w:val="18"/>
                <w:szCs w:val="18"/>
                <w:lang w:val="en-GB"/>
              </w:rPr>
              <w:t>information</w:t>
            </w:r>
            <w:r w:rsidR="0004741B">
              <w:rPr>
                <w:rFonts w:cs="Segoe UI"/>
                <w:sz w:val="18"/>
                <w:szCs w:val="18"/>
                <w:lang w:val="en-GB"/>
              </w:rPr>
              <w:t>“</w:t>
            </w:r>
            <w:r w:rsidR="00A42038" w:rsidRPr="0027216C">
              <w:rPr>
                <w:rFonts w:cs="Segoe UI"/>
                <w:sz w:val="18"/>
                <w:szCs w:val="18"/>
                <w:lang w:val="en-GB"/>
              </w:rPr>
              <w:t xml:space="preserve"> von</w:t>
            </w:r>
            <w:proofErr w:type="gramEnd"/>
            <w:r w:rsidR="00A42038" w:rsidRPr="0027216C">
              <w:rPr>
                <w:rFonts w:cs="Segoe UI"/>
                <w:sz w:val="18"/>
                <w:szCs w:val="18"/>
                <w:lang w:val="en-GB"/>
              </w:rPr>
              <w:t xml:space="preserve"> Gregor Cresnar, </w:t>
            </w:r>
            <w:proofErr w:type="spellStart"/>
            <w:r w:rsidR="00A42038" w:rsidRPr="0027216C">
              <w:rPr>
                <w:rFonts w:cs="Segoe UI"/>
                <w:sz w:val="18"/>
                <w:szCs w:val="18"/>
                <w:lang w:val="en-GB"/>
              </w:rPr>
              <w:t>Lizenz</w:t>
            </w:r>
            <w:proofErr w:type="spellEnd"/>
            <w:r w:rsidR="00A42038" w:rsidRPr="0027216C">
              <w:rPr>
                <w:rFonts w:cs="Segoe UI"/>
                <w:sz w:val="18"/>
                <w:szCs w:val="18"/>
                <w:lang w:val="en-GB"/>
              </w:rPr>
              <w:t>: Creative Commons CC BY 3.0</w:t>
            </w:r>
          </w:p>
          <w:p w14:paraId="5E1E7FC2" w14:textId="77777777" w:rsidR="007E3FAA" w:rsidRPr="0027216C" w:rsidRDefault="00A42038">
            <w:pPr>
              <w:pStyle w:val="TD"/>
              <w:widowControl w:val="0"/>
              <w:rPr>
                <w:rFonts w:cs="Segoe UI"/>
                <w:sz w:val="18"/>
                <w:szCs w:val="18"/>
                <w:lang w:val="en-GB"/>
              </w:rPr>
            </w:pPr>
            <w:hyperlink r:id="rId80" w:history="1">
              <w:r w:rsidRPr="0027216C">
                <w:rPr>
                  <w:rStyle w:val="Hyperlink"/>
                  <w:rFonts w:cs="Segoe UI"/>
                  <w:sz w:val="18"/>
                  <w:szCs w:val="18"/>
                  <w:lang w:val="en-GB"/>
                </w:rPr>
                <w:t>https://thenounproject.com/grega.cresnar/uploads/?i=225910</w:t>
              </w:r>
            </w:hyperlink>
          </w:p>
        </w:tc>
      </w:tr>
      <w:tr w:rsidR="00B2073A" w:rsidRPr="00595E44" w14:paraId="73B79B97" w14:textId="77777777" w:rsidTr="00AE5135">
        <w:trPr>
          <w:trHeight w:val="964"/>
        </w:trPr>
        <w:tc>
          <w:tcPr>
            <w:tcW w:w="974" w:type="pct"/>
          </w:tcPr>
          <w:p w14:paraId="605AA234" w14:textId="77777777" w:rsidR="007E3FAA" w:rsidRPr="0027216C" w:rsidRDefault="00A42038">
            <w:pPr>
              <w:pStyle w:val="Tabellenkopf"/>
              <w:keepNext w:val="0"/>
              <w:keepLines w:val="0"/>
              <w:widowControl w:val="0"/>
              <w:spacing w:before="40" w:after="40"/>
              <w:rPr>
                <w:rFonts w:cs="Segoe UI"/>
                <w:lang w:val="en-GB"/>
              </w:rPr>
            </w:pPr>
            <w:r w:rsidRPr="0027216C">
              <w:rPr>
                <w:rFonts w:cs="Segoe UI"/>
                <w:noProof/>
                <w:lang w:eastAsia="de-AT" w:bidi="ar-SA"/>
              </w:rPr>
              <w:drawing>
                <wp:anchor distT="0" distB="0" distL="114300" distR="114300" simplePos="0" relativeHeight="251729920" behindDoc="1" locked="0" layoutInCell="1" allowOverlap="1" wp14:anchorId="2B159E04" wp14:editId="775BBA1E">
                  <wp:simplePos x="0" y="0"/>
                  <wp:positionH relativeFrom="margin">
                    <wp:posOffset>65405</wp:posOffset>
                  </wp:positionH>
                  <wp:positionV relativeFrom="paragraph">
                    <wp:posOffset>63975</wp:posOffset>
                  </wp:positionV>
                  <wp:extent cx="478800" cy="468000"/>
                  <wp:effectExtent l="0" t="0" r="0" b="8255"/>
                  <wp:wrapTight wrapText="bothSides">
                    <wp:wrapPolygon edited="0">
                      <wp:start x="0" y="0"/>
                      <wp:lineTo x="0" y="21102"/>
                      <wp:lineTo x="20626" y="21102"/>
                      <wp:lineTo x="20626" y="0"/>
                      <wp:lineTo x="0" y="0"/>
                    </wp:wrapPolygon>
                  </wp:wrapTight>
                  <wp:docPr id="15" name="Grafik 15" descr="Symbolbild Patientenpf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8800" cy="468000"/>
                          </a:xfrm>
                          <a:prstGeom prst="rect">
                            <a:avLst/>
                          </a:prstGeom>
                        </pic:spPr>
                      </pic:pic>
                    </a:graphicData>
                  </a:graphic>
                  <wp14:sizeRelH relativeFrom="page">
                    <wp14:pctWidth>0</wp14:pctWidth>
                  </wp14:sizeRelH>
                  <wp14:sizeRelV relativeFrom="page">
                    <wp14:pctHeight>0</wp14:pctHeight>
                  </wp14:sizeRelV>
                </wp:anchor>
              </w:drawing>
            </w:r>
          </w:p>
        </w:tc>
        <w:tc>
          <w:tcPr>
            <w:tcW w:w="4026" w:type="pct"/>
          </w:tcPr>
          <w:p w14:paraId="100D9270" w14:textId="561EA2D6" w:rsidR="007E3FAA" w:rsidRPr="0027216C" w:rsidRDefault="00D74C52">
            <w:pPr>
              <w:pStyle w:val="TD"/>
              <w:widowControl w:val="0"/>
              <w:rPr>
                <w:rFonts w:cs="Segoe UI"/>
                <w:sz w:val="18"/>
                <w:szCs w:val="18"/>
                <w:u w:val="single"/>
                <w:lang w:val="en-GB" w:bidi="ar-SA"/>
              </w:rPr>
            </w:pPr>
            <w:r w:rsidRPr="0049465E">
              <w:rPr>
                <w:rFonts w:cs="Segoe UI"/>
                <w:sz w:val="18"/>
                <w:szCs w:val="18"/>
                <w:lang w:val="en-GB"/>
              </w:rPr>
              <w:t>„</w:t>
            </w:r>
            <w:proofErr w:type="gramStart"/>
            <w:r w:rsidR="00A42038" w:rsidRPr="0049465E">
              <w:rPr>
                <w:rFonts w:cs="Segoe UI"/>
                <w:sz w:val="18"/>
                <w:szCs w:val="18"/>
                <w:lang w:val="en-GB"/>
              </w:rPr>
              <w:t>c</w:t>
            </w:r>
            <w:r w:rsidR="00A42038" w:rsidRPr="003855ED">
              <w:rPr>
                <w:rStyle w:val="Hyperlink"/>
                <w:rFonts w:cs="Segoe UI"/>
                <w:sz w:val="18"/>
                <w:szCs w:val="18"/>
                <w:u w:val="none"/>
                <w:lang w:val="en-GB" w:bidi="ar-SA"/>
              </w:rPr>
              <w:t>ustomer</w:t>
            </w:r>
            <w:proofErr w:type="gramEnd"/>
            <w:r w:rsidR="00A42038" w:rsidRPr="003855ED">
              <w:rPr>
                <w:rStyle w:val="Hyperlink"/>
                <w:rFonts w:cs="Segoe UI"/>
                <w:sz w:val="18"/>
                <w:szCs w:val="18"/>
                <w:u w:val="none"/>
                <w:lang w:val="en-GB" w:bidi="ar-SA"/>
              </w:rPr>
              <w:t xml:space="preserve"> </w:t>
            </w:r>
            <w:proofErr w:type="gramStart"/>
            <w:r w:rsidR="00A42038" w:rsidRPr="003855ED">
              <w:rPr>
                <w:rStyle w:val="Hyperlink"/>
                <w:rFonts w:cs="Segoe UI"/>
                <w:sz w:val="18"/>
                <w:szCs w:val="18"/>
                <w:u w:val="none"/>
                <w:lang w:val="en-GB" w:bidi="ar-SA"/>
              </w:rPr>
              <w:t>journey</w:t>
            </w:r>
            <w:r w:rsidR="0004741B" w:rsidRPr="0049465E">
              <w:rPr>
                <w:rFonts w:cs="Segoe UI"/>
                <w:sz w:val="18"/>
                <w:szCs w:val="18"/>
                <w:lang w:val="en-GB"/>
              </w:rPr>
              <w:t>“</w:t>
            </w:r>
            <w:r w:rsidR="00A42038" w:rsidRPr="003855ED">
              <w:rPr>
                <w:rStyle w:val="Hyperlink"/>
                <w:rFonts w:cs="Segoe UI"/>
                <w:sz w:val="18"/>
                <w:szCs w:val="18"/>
                <w:u w:val="none"/>
                <w:lang w:val="en-GB" w:bidi="ar-SA"/>
              </w:rPr>
              <w:t xml:space="preserve"> von</w:t>
            </w:r>
            <w:proofErr w:type="gramEnd"/>
            <w:r w:rsidR="00A42038" w:rsidRPr="003855ED">
              <w:rPr>
                <w:rStyle w:val="Hyperlink"/>
                <w:rFonts w:cs="Segoe UI"/>
                <w:sz w:val="18"/>
                <w:szCs w:val="18"/>
                <w:u w:val="none"/>
                <w:lang w:val="en-GB" w:bidi="ar-SA"/>
              </w:rPr>
              <w:t xml:space="preserve"> Stephen </w:t>
            </w:r>
            <w:r w:rsidR="003855ED">
              <w:rPr>
                <w:rStyle w:val="Hyperlink"/>
                <w:rFonts w:cs="Segoe UI"/>
                <w:sz w:val="18"/>
                <w:szCs w:val="18"/>
                <w:u w:val="none"/>
                <w:lang w:val="en-GB" w:bidi="ar-SA"/>
              </w:rPr>
              <w:t>J</w:t>
            </w:r>
            <w:r w:rsidR="003855ED">
              <w:rPr>
                <w:rStyle w:val="Hyperlink"/>
                <w:rFonts w:cs="Segoe UI"/>
                <w:sz w:val="18"/>
                <w:szCs w:val="18"/>
                <w:lang w:val="en-GB"/>
              </w:rPr>
              <w:t xml:space="preserve">B </w:t>
            </w:r>
            <w:r w:rsidR="00A42038" w:rsidRPr="003855ED">
              <w:rPr>
                <w:rStyle w:val="Hyperlink"/>
                <w:rFonts w:cs="Segoe UI"/>
                <w:sz w:val="18"/>
                <w:szCs w:val="18"/>
                <w:u w:val="none"/>
                <w:lang w:val="en-GB" w:bidi="ar-SA"/>
              </w:rPr>
              <w:t xml:space="preserve">Thomas, </w:t>
            </w:r>
            <w:r w:rsidR="00A42038" w:rsidRPr="0027216C">
              <w:rPr>
                <w:rFonts w:cs="Segoe UI"/>
                <w:sz w:val="18"/>
                <w:szCs w:val="18"/>
                <w:lang w:val="en-GB" w:bidi="ar-SA"/>
              </w:rPr>
              <w:t>Lizenz: Creative Commons CC BY 3.0</w:t>
            </w:r>
            <w:r w:rsidR="00A42038" w:rsidRPr="0027216C">
              <w:rPr>
                <w:rStyle w:val="Hyperlink"/>
                <w:rFonts w:cs="Segoe UI"/>
                <w:sz w:val="18"/>
                <w:szCs w:val="18"/>
                <w:lang w:val="en-GB" w:bidi="ar-SA"/>
              </w:rPr>
              <w:t xml:space="preserve"> </w:t>
            </w:r>
            <w:hyperlink r:id="rId81" w:history="1">
              <w:r w:rsidR="00A42038" w:rsidRPr="0027216C">
                <w:rPr>
                  <w:rStyle w:val="Hyperlink"/>
                  <w:rFonts w:cs="Segoe UI"/>
                  <w:sz w:val="18"/>
                  <w:szCs w:val="18"/>
                  <w:lang w:val="en-GB" w:bidi="ar-SA"/>
                </w:rPr>
                <w:t>https://thenounproject.com/search/?q=pathway&amp;i=1258738</w:t>
              </w:r>
            </w:hyperlink>
          </w:p>
        </w:tc>
      </w:tr>
      <w:tr w:rsidR="00B2073A" w:rsidRPr="00595E44" w14:paraId="22145886" w14:textId="77777777" w:rsidTr="00AE5135">
        <w:trPr>
          <w:trHeight w:val="964"/>
        </w:trPr>
        <w:tc>
          <w:tcPr>
            <w:tcW w:w="974" w:type="pct"/>
          </w:tcPr>
          <w:p w14:paraId="65D8E5F1" w14:textId="77777777" w:rsidR="007E3FAA" w:rsidRPr="0027216C" w:rsidRDefault="00A42038">
            <w:pPr>
              <w:pStyle w:val="Tabellenkopf"/>
              <w:keepNext w:val="0"/>
              <w:keepLines w:val="0"/>
              <w:widowControl w:val="0"/>
              <w:spacing w:before="40" w:after="40"/>
              <w:rPr>
                <w:rFonts w:cs="Segoe UI"/>
                <w:noProof/>
                <w:lang w:val="en-US" w:eastAsia="de-AT" w:bidi="ar-SA"/>
              </w:rPr>
            </w:pPr>
            <w:r w:rsidRPr="0027216C">
              <w:rPr>
                <w:noProof/>
                <w:lang w:eastAsia="de-AT" w:bidi="ar-SA"/>
              </w:rPr>
              <w:drawing>
                <wp:anchor distT="0" distB="0" distL="114300" distR="114300" simplePos="0" relativeHeight="251750400" behindDoc="0" locked="0" layoutInCell="1" allowOverlap="1" wp14:anchorId="150019B8" wp14:editId="3FE77565">
                  <wp:simplePos x="0" y="0"/>
                  <wp:positionH relativeFrom="column">
                    <wp:posOffset>88265</wp:posOffset>
                  </wp:positionH>
                  <wp:positionV relativeFrom="paragraph">
                    <wp:posOffset>120650</wp:posOffset>
                  </wp:positionV>
                  <wp:extent cx="509270" cy="433705"/>
                  <wp:effectExtent l="0" t="0" r="0" b="4445"/>
                  <wp:wrapSquare wrapText="bothSides"/>
                  <wp:docPr id="209147242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1337" name="Grafik 1" descr="Ein Bild, das Schwarz, Dunkelheit enthält.&#10;&#10;Automatisch generierte Beschreibung"/>
                          <pic:cNvPicPr/>
                        </pic:nvPicPr>
                        <pic:blipFill rotWithShape="1">
                          <a:blip r:embed="rId82" cstate="print">
                            <a:extLst>
                              <a:ext uri="{28A0092B-C50C-407E-A947-70E740481C1C}">
                                <a14:useLocalDpi xmlns:a14="http://schemas.microsoft.com/office/drawing/2010/main" val="0"/>
                              </a:ext>
                            </a:extLst>
                          </a:blip>
                          <a:srcRect b="14808"/>
                          <a:stretch/>
                        </pic:blipFill>
                        <pic:spPr bwMode="auto">
                          <a:xfrm>
                            <a:off x="0" y="0"/>
                            <a:ext cx="509270" cy="433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26" w:type="pct"/>
          </w:tcPr>
          <w:p w14:paraId="4CFA3294" w14:textId="2784E3CB" w:rsidR="007E3FAA" w:rsidRPr="0027216C" w:rsidRDefault="00D74C52">
            <w:pPr>
              <w:pStyle w:val="TD"/>
              <w:widowControl w:val="0"/>
              <w:rPr>
                <w:rFonts w:cs="Segoe UI"/>
                <w:sz w:val="18"/>
                <w:szCs w:val="18"/>
                <w:lang w:val="en-GB"/>
              </w:rPr>
            </w:pPr>
            <w:r>
              <w:rPr>
                <w:rFonts w:cs="Segoe UI"/>
                <w:sz w:val="18"/>
                <w:szCs w:val="18"/>
                <w:lang w:val="en-GB"/>
              </w:rPr>
              <w:t>„</w:t>
            </w:r>
            <w:proofErr w:type="gramStart"/>
            <w:r w:rsidR="00A42038" w:rsidRPr="0027216C">
              <w:rPr>
                <w:rFonts w:cs="Segoe UI"/>
                <w:sz w:val="18"/>
                <w:szCs w:val="18"/>
                <w:lang w:val="en-GB"/>
              </w:rPr>
              <w:t>wound</w:t>
            </w:r>
            <w:r w:rsidR="0004741B">
              <w:rPr>
                <w:rFonts w:cs="Segoe UI"/>
                <w:sz w:val="18"/>
                <w:szCs w:val="18"/>
                <w:lang w:val="en-GB"/>
              </w:rPr>
              <w:t>“</w:t>
            </w:r>
            <w:r w:rsidR="00A42038" w:rsidRPr="0027216C">
              <w:rPr>
                <w:rFonts w:cs="Segoe UI"/>
                <w:sz w:val="18"/>
                <w:szCs w:val="18"/>
                <w:lang w:val="en-GB"/>
              </w:rPr>
              <w:t xml:space="preserve"> von</w:t>
            </w:r>
            <w:proofErr w:type="gramEnd"/>
            <w:r w:rsidR="00A42038" w:rsidRPr="0027216C">
              <w:rPr>
                <w:rFonts w:cs="Segoe UI"/>
                <w:sz w:val="18"/>
                <w:szCs w:val="18"/>
                <w:lang w:val="en-GB"/>
              </w:rPr>
              <w:t xml:space="preserve"> Ahmad, Lizenz: Creative Commons CC BY 3.0</w:t>
            </w:r>
          </w:p>
          <w:p w14:paraId="3573446A" w14:textId="77777777" w:rsidR="007E3FAA" w:rsidRPr="0027216C" w:rsidRDefault="00A42038">
            <w:pPr>
              <w:pStyle w:val="TD"/>
              <w:widowControl w:val="0"/>
              <w:rPr>
                <w:rFonts w:cs="Segoe UI"/>
                <w:sz w:val="18"/>
                <w:szCs w:val="18"/>
                <w:lang w:val="en-GB"/>
              </w:rPr>
            </w:pPr>
            <w:hyperlink r:id="rId83" w:history="1">
              <w:r w:rsidRPr="0027216C">
                <w:rPr>
                  <w:rStyle w:val="Hyperlink"/>
                  <w:rFonts w:cs="Segoe UI"/>
                  <w:sz w:val="18"/>
                  <w:szCs w:val="18"/>
                  <w:lang w:val="en-GB"/>
                </w:rPr>
                <w:t>https://thenounproject.com/icon/wound-7055250/</w:t>
              </w:r>
            </w:hyperlink>
          </w:p>
        </w:tc>
      </w:tr>
      <w:tr w:rsidR="00B2073A" w:rsidRPr="00595E44" w14:paraId="24E854DD" w14:textId="77777777" w:rsidTr="00AE5135">
        <w:trPr>
          <w:trHeight w:val="964"/>
        </w:trPr>
        <w:tc>
          <w:tcPr>
            <w:tcW w:w="974" w:type="pct"/>
          </w:tcPr>
          <w:p w14:paraId="0194C122" w14:textId="503E0DD2" w:rsidR="007E3FAA" w:rsidRPr="0027216C" w:rsidRDefault="00B2073A" w:rsidP="00B2073A">
            <w:pPr>
              <w:pStyle w:val="Tabellenkopf"/>
              <w:keepNext w:val="0"/>
              <w:keepLines w:val="0"/>
              <w:widowControl w:val="0"/>
              <w:spacing w:before="40" w:after="40"/>
              <w:jc w:val="both"/>
              <w:rPr>
                <w:rFonts w:cs="Segoe UI"/>
                <w:lang w:val="en-GB" w:eastAsia="de-AT" w:bidi="ar-SA"/>
              </w:rPr>
            </w:pPr>
            <w:r>
              <w:rPr>
                <w:rFonts w:cs="Segoe UI"/>
                <w:noProof/>
                <w:lang w:val="en-GB" w:eastAsia="de-AT" w:bidi="ar-SA"/>
              </w:rPr>
              <w:drawing>
                <wp:anchor distT="0" distB="0" distL="114300" distR="114300" simplePos="0" relativeHeight="251799552" behindDoc="0" locked="0" layoutInCell="1" allowOverlap="1" wp14:anchorId="740D985F" wp14:editId="097C8D8D">
                  <wp:simplePos x="0" y="0"/>
                  <wp:positionH relativeFrom="column">
                    <wp:posOffset>59690</wp:posOffset>
                  </wp:positionH>
                  <wp:positionV relativeFrom="paragraph">
                    <wp:posOffset>139700</wp:posOffset>
                  </wp:positionV>
                  <wp:extent cx="591820" cy="553720"/>
                  <wp:effectExtent l="0" t="0" r="0" b="0"/>
                  <wp:wrapTopAndBottom/>
                  <wp:docPr id="54745311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1820" cy="5537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26" w:type="pct"/>
          </w:tcPr>
          <w:p w14:paraId="3C7B45AB" w14:textId="1BCF3359" w:rsidR="007E3FAA" w:rsidRPr="00AA17C9" w:rsidRDefault="00D74C52">
            <w:pPr>
              <w:pStyle w:val="TD"/>
              <w:widowControl w:val="0"/>
              <w:rPr>
                <w:lang w:val="en-US"/>
              </w:rPr>
            </w:pPr>
            <w:r w:rsidRPr="0049465E">
              <w:rPr>
                <w:rFonts w:cs="Segoe UI"/>
                <w:sz w:val="18"/>
                <w:szCs w:val="18"/>
                <w:lang w:val="en-GB"/>
              </w:rPr>
              <w:t>„</w:t>
            </w:r>
            <w:proofErr w:type="gramStart"/>
            <w:r w:rsidR="00A42038" w:rsidRPr="0049465E">
              <w:rPr>
                <w:rFonts w:cs="Segoe UI"/>
                <w:sz w:val="18"/>
                <w:szCs w:val="18"/>
                <w:lang w:val="en-GB"/>
              </w:rPr>
              <w:t>d</w:t>
            </w:r>
            <w:r w:rsidR="00A42038" w:rsidRPr="003855ED">
              <w:rPr>
                <w:rStyle w:val="Hyperlink"/>
                <w:rFonts w:cs="Segoe UI"/>
                <w:sz w:val="18"/>
                <w:szCs w:val="18"/>
                <w:u w:val="none"/>
                <w:lang w:val="en-GB" w:bidi="ar-SA"/>
              </w:rPr>
              <w:t>ocumentation</w:t>
            </w:r>
            <w:r w:rsidR="0004741B" w:rsidRPr="0049465E">
              <w:rPr>
                <w:rFonts w:cs="Segoe UI"/>
                <w:sz w:val="18"/>
                <w:szCs w:val="18"/>
                <w:lang w:val="en-GB"/>
              </w:rPr>
              <w:t>“</w:t>
            </w:r>
            <w:r w:rsidR="00A42038" w:rsidRPr="00F7776B">
              <w:rPr>
                <w:rStyle w:val="Hyperlink"/>
                <w:rFonts w:cs="Segoe UI"/>
                <w:sz w:val="18"/>
                <w:szCs w:val="18"/>
                <w:u w:val="none"/>
                <w:lang w:val="en-GB" w:bidi="ar-SA"/>
              </w:rPr>
              <w:t xml:space="preserve"> von</w:t>
            </w:r>
            <w:proofErr w:type="gramEnd"/>
            <w:r w:rsidR="00A42038" w:rsidRPr="00F7776B">
              <w:rPr>
                <w:rStyle w:val="Hyperlink"/>
                <w:rFonts w:cs="Segoe UI"/>
                <w:sz w:val="18"/>
                <w:szCs w:val="18"/>
                <w:u w:val="none"/>
                <w:lang w:val="en-GB" w:bidi="ar-SA"/>
              </w:rPr>
              <w:t xml:space="preserve"> Shashank Singh, </w:t>
            </w:r>
            <w:r w:rsidR="00A42038" w:rsidRPr="0027216C">
              <w:rPr>
                <w:rFonts w:cs="Segoe UI"/>
                <w:sz w:val="18"/>
                <w:szCs w:val="18"/>
                <w:lang w:val="en-GB" w:bidi="ar-SA"/>
              </w:rPr>
              <w:t>Lizenz: Creative Commons CC BY 3.0</w:t>
            </w:r>
            <w:r w:rsidR="00A42038" w:rsidRPr="0027216C">
              <w:rPr>
                <w:rStyle w:val="Hyperlink"/>
                <w:rFonts w:cs="Segoe UI"/>
                <w:sz w:val="18"/>
                <w:szCs w:val="18"/>
                <w:lang w:val="en-GB" w:bidi="ar-SA"/>
              </w:rPr>
              <w:t xml:space="preserve"> </w:t>
            </w:r>
          </w:p>
          <w:p w14:paraId="2546C39A" w14:textId="5EEE313A" w:rsidR="00B2073A" w:rsidRPr="00AA17C9" w:rsidRDefault="00B2073A">
            <w:pPr>
              <w:pStyle w:val="TD"/>
              <w:widowControl w:val="0"/>
              <w:rPr>
                <w:lang w:val="en-US"/>
              </w:rPr>
            </w:pPr>
            <w:hyperlink r:id="rId85" w:history="1">
              <w:r w:rsidRPr="00AA17C9">
                <w:rPr>
                  <w:rStyle w:val="Hyperlink"/>
                  <w:sz w:val="17"/>
                  <w:lang w:val="en-US"/>
                </w:rPr>
                <w:t>https://thenounproject.com/icon/documentation-884660/</w:t>
              </w:r>
            </w:hyperlink>
          </w:p>
          <w:p w14:paraId="42C1EE86" w14:textId="72E37A14" w:rsidR="00B2073A" w:rsidRPr="00F7776B" w:rsidRDefault="00B2073A" w:rsidP="00B2073A">
            <w:pPr>
              <w:pStyle w:val="TD"/>
              <w:widowControl w:val="0"/>
              <w:ind w:left="0"/>
              <w:rPr>
                <w:rFonts w:cs="Segoe UI"/>
                <w:sz w:val="18"/>
                <w:szCs w:val="18"/>
                <w:lang w:val="en-US" w:bidi="ar-SA"/>
              </w:rPr>
            </w:pPr>
            <w:r>
              <w:fldChar w:fldCharType="begin"/>
            </w:r>
            <w:r w:rsidRPr="00B2073A">
              <w:rPr>
                <w:lang w:val="en-US"/>
              </w:rPr>
              <w:instrText>https://thenounproject.com/icon/documentation-884660/"</w:instrText>
            </w:r>
            <w:r>
              <w:fldChar w:fldCharType="separate"/>
            </w:r>
            <w:r w:rsidRPr="00F7776B">
              <w:rPr>
                <w:rStyle w:val="Hyperlink"/>
                <w:sz w:val="17"/>
                <w:lang w:val="en-US"/>
              </w:rPr>
              <w:t>https://thenounproject.com/icon/documentation-884660/</w:t>
            </w:r>
            <w:r>
              <w:fldChar w:fldCharType="end"/>
            </w:r>
            <w:r>
              <w:fldChar w:fldCharType="begin"/>
            </w:r>
            <w:r w:rsidRPr="00B2073A">
              <w:rPr>
                <w:lang w:val="en-US"/>
              </w:rPr>
              <w:instrText>https://thenounproject.com/icon/documentation-884660/"</w:instrText>
            </w:r>
            <w:r>
              <w:fldChar w:fldCharType="separate"/>
            </w:r>
            <w:r w:rsidRPr="00F7776B">
              <w:rPr>
                <w:rStyle w:val="Hyperlink"/>
                <w:sz w:val="17"/>
                <w:lang w:val="en-US"/>
              </w:rPr>
              <w:t>https://thenounproject.com/icon/documentation-884660/</w:t>
            </w:r>
            <w:r>
              <w:fldChar w:fldCharType="end"/>
            </w:r>
          </w:p>
        </w:tc>
      </w:tr>
      <w:tr w:rsidR="00B2073A" w:rsidRPr="00595E44" w14:paraId="59132185" w14:textId="77777777" w:rsidTr="00AE5135">
        <w:trPr>
          <w:trHeight w:val="964"/>
        </w:trPr>
        <w:tc>
          <w:tcPr>
            <w:tcW w:w="974" w:type="pct"/>
          </w:tcPr>
          <w:p w14:paraId="000C5A7C" w14:textId="77777777" w:rsidR="007E3FAA" w:rsidRPr="0027216C" w:rsidRDefault="00A42038">
            <w:pPr>
              <w:pStyle w:val="Tabellenkopf"/>
              <w:keepNext w:val="0"/>
              <w:keepLines w:val="0"/>
              <w:widowControl w:val="0"/>
              <w:spacing w:before="40" w:after="40"/>
              <w:jc w:val="both"/>
              <w:rPr>
                <w:rFonts w:cs="Segoe UI"/>
                <w:noProof/>
                <w:lang w:val="en-US" w:eastAsia="de-AT" w:bidi="ar-SA"/>
              </w:rPr>
            </w:pPr>
            <w:r w:rsidRPr="0027216C">
              <w:rPr>
                <w:rFonts w:cs="Segoe UI"/>
                <w:noProof/>
                <w:lang w:eastAsia="de-AT" w:bidi="ar-SA"/>
              </w:rPr>
              <w:drawing>
                <wp:anchor distT="0" distB="0" distL="114300" distR="114300" simplePos="0" relativeHeight="251751424" behindDoc="0" locked="0" layoutInCell="1" allowOverlap="1" wp14:anchorId="6D5D1AC3" wp14:editId="27D89F0E">
                  <wp:simplePos x="0" y="0"/>
                  <wp:positionH relativeFrom="column">
                    <wp:posOffset>47625</wp:posOffset>
                  </wp:positionH>
                  <wp:positionV relativeFrom="paragraph">
                    <wp:posOffset>117475</wp:posOffset>
                  </wp:positionV>
                  <wp:extent cx="526415" cy="477520"/>
                  <wp:effectExtent l="0" t="0" r="6985" b="0"/>
                  <wp:wrapTopAndBottom/>
                  <wp:docPr id="65819984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415" cy="4775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26" w:type="pct"/>
          </w:tcPr>
          <w:p w14:paraId="74F8035C" w14:textId="77777777" w:rsidR="007E3FAA" w:rsidRPr="0027216C" w:rsidRDefault="007E3FAA">
            <w:pPr>
              <w:pStyle w:val="TD"/>
              <w:widowControl w:val="0"/>
              <w:rPr>
                <w:rFonts w:cs="Segoe UI"/>
                <w:sz w:val="18"/>
                <w:szCs w:val="18"/>
                <w:lang w:val="en-GB"/>
              </w:rPr>
            </w:pPr>
          </w:p>
          <w:p w14:paraId="69A5E917" w14:textId="39C7C2B1" w:rsidR="007E3FAA" w:rsidRPr="0027216C" w:rsidRDefault="00D74C52">
            <w:pPr>
              <w:widowControl w:val="0"/>
              <w:spacing w:before="0"/>
              <w:rPr>
                <w:sz w:val="18"/>
                <w:szCs w:val="18"/>
                <w:lang w:val="en-US"/>
              </w:rPr>
            </w:pPr>
            <w:r>
              <w:rPr>
                <w:rFonts w:cs="Segoe UI"/>
                <w:sz w:val="18"/>
                <w:szCs w:val="18"/>
                <w:lang w:val="en-GB"/>
              </w:rPr>
              <w:t>„</w:t>
            </w:r>
            <w:proofErr w:type="gramStart"/>
            <w:r w:rsidR="00A42038" w:rsidRPr="0027216C">
              <w:rPr>
                <w:rFonts w:cs="Segoe UI"/>
                <w:sz w:val="18"/>
                <w:szCs w:val="18"/>
                <w:lang w:val="en-GB"/>
              </w:rPr>
              <w:t>unhealed</w:t>
            </w:r>
            <w:proofErr w:type="gramEnd"/>
            <w:r w:rsidR="00A42038" w:rsidRPr="0027216C">
              <w:rPr>
                <w:rFonts w:cs="Segoe UI"/>
                <w:sz w:val="18"/>
                <w:szCs w:val="18"/>
                <w:lang w:val="en-GB"/>
              </w:rPr>
              <w:t xml:space="preserve"> </w:t>
            </w:r>
            <w:proofErr w:type="gramStart"/>
            <w:r w:rsidR="00A42038" w:rsidRPr="0027216C">
              <w:rPr>
                <w:rFonts w:cs="Segoe UI"/>
                <w:sz w:val="18"/>
                <w:szCs w:val="18"/>
                <w:lang w:val="en-GB"/>
              </w:rPr>
              <w:t>wound</w:t>
            </w:r>
            <w:r w:rsidR="0004741B">
              <w:rPr>
                <w:rFonts w:cs="Segoe UI"/>
                <w:sz w:val="18"/>
                <w:szCs w:val="18"/>
                <w:lang w:val="en-GB"/>
              </w:rPr>
              <w:t>“</w:t>
            </w:r>
            <w:r w:rsidR="00A42038" w:rsidRPr="0027216C">
              <w:rPr>
                <w:rFonts w:cs="Segoe UI"/>
                <w:sz w:val="18"/>
                <w:szCs w:val="18"/>
                <w:lang w:val="en-GB"/>
              </w:rPr>
              <w:t xml:space="preserve"> von</w:t>
            </w:r>
            <w:proofErr w:type="gramEnd"/>
            <w:r w:rsidR="00A42038" w:rsidRPr="0027216C">
              <w:rPr>
                <w:sz w:val="18"/>
                <w:szCs w:val="18"/>
                <w:lang w:val="en-US"/>
              </w:rPr>
              <w:t xml:space="preserve"> Gan Khoon Lay, Li</w:t>
            </w:r>
            <w:r w:rsidR="00031B58">
              <w:rPr>
                <w:sz w:val="18"/>
                <w:szCs w:val="18"/>
                <w:lang w:val="en-US"/>
              </w:rPr>
              <w:t>z</w:t>
            </w:r>
            <w:proofErr w:type="spellStart"/>
            <w:r w:rsidR="00A42038" w:rsidRPr="0027216C">
              <w:rPr>
                <w:rFonts w:cs="Segoe UI"/>
                <w:sz w:val="18"/>
                <w:szCs w:val="18"/>
                <w:lang w:val="en-GB"/>
              </w:rPr>
              <w:t>enz</w:t>
            </w:r>
            <w:proofErr w:type="spellEnd"/>
            <w:r w:rsidR="00A42038" w:rsidRPr="0027216C">
              <w:rPr>
                <w:rFonts w:cs="Segoe UI"/>
                <w:sz w:val="18"/>
                <w:szCs w:val="18"/>
                <w:lang w:val="en-GB"/>
              </w:rPr>
              <w:t>: Creative Commons CC BY 3.0</w:t>
            </w:r>
          </w:p>
          <w:p w14:paraId="1CEC0AF9" w14:textId="77777777" w:rsidR="007E3FAA" w:rsidRPr="0027216C" w:rsidRDefault="00A42038">
            <w:pPr>
              <w:pStyle w:val="TD"/>
              <w:widowControl w:val="0"/>
              <w:spacing w:before="0"/>
              <w:rPr>
                <w:rFonts w:cs="Segoe UI"/>
                <w:sz w:val="18"/>
                <w:szCs w:val="18"/>
                <w:lang w:val="en-GB"/>
              </w:rPr>
            </w:pPr>
            <w:hyperlink r:id="rId86" w:history="1">
              <w:r w:rsidRPr="0027216C">
                <w:rPr>
                  <w:rStyle w:val="Hyperlink"/>
                  <w:rFonts w:cs="Segoe UI"/>
                  <w:sz w:val="18"/>
                  <w:szCs w:val="18"/>
                  <w:lang w:val="en-GB"/>
                </w:rPr>
                <w:t>https://thenounproject.com/icon/unhealed-wound-2767353/</w:t>
              </w:r>
            </w:hyperlink>
          </w:p>
          <w:p w14:paraId="266DB05A" w14:textId="77777777" w:rsidR="007E3FAA" w:rsidRPr="0027216C" w:rsidRDefault="007E3FAA">
            <w:pPr>
              <w:pStyle w:val="TD"/>
              <w:widowControl w:val="0"/>
              <w:rPr>
                <w:rFonts w:cs="Segoe UI"/>
                <w:sz w:val="18"/>
                <w:szCs w:val="18"/>
                <w:lang w:val="en-GB"/>
              </w:rPr>
            </w:pPr>
          </w:p>
        </w:tc>
      </w:tr>
      <w:tr w:rsidR="00B2073A" w:rsidRPr="00595E44" w14:paraId="00C9D910" w14:textId="77777777" w:rsidTr="00AE5135">
        <w:trPr>
          <w:trHeight w:val="964"/>
        </w:trPr>
        <w:tc>
          <w:tcPr>
            <w:tcW w:w="974" w:type="pct"/>
          </w:tcPr>
          <w:p w14:paraId="4DF9C754" w14:textId="77777777" w:rsidR="007E3FAA" w:rsidRPr="0027216C" w:rsidRDefault="00A42038">
            <w:pPr>
              <w:pStyle w:val="Tabellenkopf"/>
              <w:keepNext w:val="0"/>
              <w:keepLines w:val="0"/>
              <w:widowControl w:val="0"/>
              <w:spacing w:before="40" w:after="40"/>
              <w:jc w:val="both"/>
              <w:rPr>
                <w:rFonts w:cs="Segoe UI"/>
                <w:noProof/>
                <w:lang w:val="en-GB"/>
              </w:rPr>
            </w:pPr>
            <w:r w:rsidRPr="0027216C">
              <w:rPr>
                <w:noProof/>
                <w:lang w:eastAsia="de-AT" w:bidi="ar-SA"/>
              </w:rPr>
              <w:drawing>
                <wp:anchor distT="0" distB="0" distL="114300" distR="114300" simplePos="0" relativeHeight="251736064" behindDoc="0" locked="0" layoutInCell="1" allowOverlap="1" wp14:anchorId="3C5AAB70" wp14:editId="7D6FA8DF">
                  <wp:simplePos x="0" y="0"/>
                  <wp:positionH relativeFrom="column">
                    <wp:posOffset>25906</wp:posOffset>
                  </wp:positionH>
                  <wp:positionV relativeFrom="page">
                    <wp:posOffset>91223</wp:posOffset>
                  </wp:positionV>
                  <wp:extent cx="523875" cy="478155"/>
                  <wp:effectExtent l="0" t="0" r="9525" b="0"/>
                  <wp:wrapSquare wrapText="bothSides"/>
                  <wp:docPr id="419624595"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44715" name="Grafik 1" descr="Ein Bild, das Schwarz, Dunkelheit enthält.&#10;&#10;Automatisch generierte Beschreibung"/>
                          <pic:cNvPicPr/>
                        </pic:nvPicPr>
                        <pic:blipFill rotWithShape="1">
                          <a:blip r:embed="rId18" cstate="print">
                            <a:extLst>
                              <a:ext uri="{28A0092B-C50C-407E-A947-70E740481C1C}">
                                <a14:useLocalDpi xmlns:a14="http://schemas.microsoft.com/office/drawing/2010/main" val="0"/>
                              </a:ext>
                            </a:extLst>
                          </a:blip>
                          <a:srcRect l="6130" t="2009" r="7252" b="18927"/>
                          <a:stretch/>
                        </pic:blipFill>
                        <pic:spPr bwMode="auto">
                          <a:xfrm>
                            <a:off x="0" y="0"/>
                            <a:ext cx="523875" cy="478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26" w:type="pct"/>
          </w:tcPr>
          <w:p w14:paraId="0260BD75" w14:textId="5E461140" w:rsidR="007E3FAA" w:rsidRPr="0027216C" w:rsidRDefault="00D74C52">
            <w:pPr>
              <w:pStyle w:val="TD"/>
              <w:widowControl w:val="0"/>
              <w:rPr>
                <w:rFonts w:cs="Segoe UI"/>
                <w:sz w:val="18"/>
                <w:szCs w:val="18"/>
                <w:lang w:val="en-US" w:bidi="ar-SA"/>
              </w:rPr>
            </w:pPr>
            <w:r>
              <w:rPr>
                <w:rFonts w:cs="Segoe UI"/>
                <w:sz w:val="18"/>
                <w:szCs w:val="18"/>
                <w:lang w:val="en-GB"/>
              </w:rPr>
              <w:t>„</w:t>
            </w:r>
            <w:proofErr w:type="gramStart"/>
            <w:r w:rsidR="00A42038" w:rsidRPr="0027216C">
              <w:rPr>
                <w:rFonts w:cs="Segoe UI"/>
                <w:sz w:val="18"/>
                <w:szCs w:val="18"/>
                <w:lang w:val="en-GB" w:bidi="ar-SA"/>
              </w:rPr>
              <w:t>wound</w:t>
            </w:r>
            <w:r w:rsidR="0004741B">
              <w:rPr>
                <w:rFonts w:cs="Segoe UI"/>
                <w:sz w:val="18"/>
                <w:szCs w:val="18"/>
                <w:lang w:val="en-GB"/>
              </w:rPr>
              <w:t>“</w:t>
            </w:r>
            <w:r w:rsidR="00A42038" w:rsidRPr="0027216C">
              <w:rPr>
                <w:rFonts w:cs="Segoe UI"/>
                <w:sz w:val="18"/>
                <w:szCs w:val="18"/>
                <w:lang w:val="en-GB" w:bidi="ar-SA"/>
              </w:rPr>
              <w:t xml:space="preserve"> von</w:t>
            </w:r>
            <w:proofErr w:type="gramEnd"/>
            <w:r w:rsidR="00A42038" w:rsidRPr="0027216C">
              <w:rPr>
                <w:rFonts w:cs="Segoe UI"/>
                <w:sz w:val="18"/>
                <w:szCs w:val="18"/>
                <w:lang w:val="en-GB" w:bidi="ar-SA"/>
              </w:rPr>
              <w:t xml:space="preserve"> </w:t>
            </w:r>
            <w:hyperlink r:id="rId87" w:tgtFrame="_self" w:history="1">
              <w:r w:rsidR="00A42038" w:rsidRPr="00DE3A1E">
                <w:rPr>
                  <w:rStyle w:val="Hyperlink"/>
                  <w:rFonts w:cs="Segoe UI"/>
                  <w:sz w:val="18"/>
                  <w:szCs w:val="18"/>
                  <w:u w:val="none"/>
                  <w:lang w:val="en-US" w:bidi="ar-SA"/>
                </w:rPr>
                <w:t xml:space="preserve">Rahmad </w:t>
              </w:r>
              <w:proofErr w:type="spellStart"/>
              <w:r w:rsidR="00A42038" w:rsidRPr="00DE3A1E">
                <w:rPr>
                  <w:rStyle w:val="Hyperlink"/>
                  <w:rFonts w:cs="Segoe UI"/>
                  <w:sz w:val="18"/>
                  <w:szCs w:val="18"/>
                  <w:u w:val="none"/>
                  <w:lang w:val="en-US" w:bidi="ar-SA"/>
                </w:rPr>
                <w:t>romadoni</w:t>
              </w:r>
              <w:proofErr w:type="spellEnd"/>
            </w:hyperlink>
            <w:r w:rsidR="00A42038" w:rsidRPr="00031B58">
              <w:rPr>
                <w:rFonts w:cs="Segoe UI"/>
                <w:sz w:val="18"/>
                <w:szCs w:val="18"/>
                <w:lang w:val="en-GB" w:bidi="ar-SA"/>
              </w:rPr>
              <w:t>,</w:t>
            </w:r>
            <w:r w:rsidR="00A42038" w:rsidRPr="0027216C">
              <w:rPr>
                <w:rFonts w:cs="Segoe UI"/>
                <w:sz w:val="18"/>
                <w:szCs w:val="18"/>
                <w:lang w:val="en-GB" w:bidi="ar-SA"/>
              </w:rPr>
              <w:t xml:space="preserve"> Lizenz: Creative Commons CC BY 3.0</w:t>
            </w:r>
          </w:p>
          <w:p w14:paraId="5450E01C" w14:textId="77777777" w:rsidR="007E3FAA" w:rsidRPr="0027216C" w:rsidRDefault="00A42038">
            <w:pPr>
              <w:pStyle w:val="TD"/>
              <w:widowControl w:val="0"/>
              <w:rPr>
                <w:rFonts w:cs="Segoe UI"/>
                <w:sz w:val="18"/>
                <w:szCs w:val="18"/>
                <w:lang w:val="en-GB" w:bidi="ar-SA"/>
              </w:rPr>
            </w:pPr>
            <w:hyperlink r:id="rId88" w:history="1">
              <w:r w:rsidRPr="0027216C">
                <w:rPr>
                  <w:rStyle w:val="Hyperlink"/>
                  <w:rFonts w:cs="Segoe UI"/>
                  <w:sz w:val="18"/>
                  <w:szCs w:val="18"/>
                  <w:lang w:val="en-GB" w:bidi="ar-SA"/>
                </w:rPr>
                <w:t>https://thenounproject.com/icon/wound-5609135/</w:t>
              </w:r>
            </w:hyperlink>
          </w:p>
          <w:p w14:paraId="3DB26B44" w14:textId="77777777" w:rsidR="007E3FAA" w:rsidRPr="0027216C" w:rsidRDefault="007E3FAA">
            <w:pPr>
              <w:pStyle w:val="TD"/>
              <w:widowControl w:val="0"/>
              <w:rPr>
                <w:rFonts w:cs="Segoe UI"/>
                <w:sz w:val="18"/>
                <w:szCs w:val="18"/>
                <w:lang w:val="en-GB" w:bidi="ar-SA"/>
              </w:rPr>
            </w:pPr>
          </w:p>
        </w:tc>
      </w:tr>
      <w:tr w:rsidR="00B2073A" w:rsidRPr="00595E44" w14:paraId="1779088C" w14:textId="77777777" w:rsidTr="00AE5135">
        <w:trPr>
          <w:trHeight w:val="964"/>
        </w:trPr>
        <w:tc>
          <w:tcPr>
            <w:tcW w:w="974" w:type="pct"/>
          </w:tcPr>
          <w:p w14:paraId="5A98E79E" w14:textId="77777777" w:rsidR="007E3FAA" w:rsidRPr="0027216C" w:rsidRDefault="00A42038">
            <w:pPr>
              <w:pStyle w:val="Tabellenkopf"/>
              <w:keepNext w:val="0"/>
              <w:keepLines w:val="0"/>
              <w:widowControl w:val="0"/>
              <w:spacing w:before="40" w:after="40"/>
              <w:jc w:val="both"/>
              <w:rPr>
                <w:lang w:val="en-US"/>
              </w:rPr>
            </w:pPr>
            <w:r w:rsidRPr="0027216C">
              <w:rPr>
                <w:noProof/>
                <w:lang w:eastAsia="de-AT" w:bidi="ar-SA"/>
              </w:rPr>
              <w:drawing>
                <wp:anchor distT="0" distB="0" distL="114300" distR="114300" simplePos="0" relativeHeight="251739136" behindDoc="0" locked="0" layoutInCell="1" allowOverlap="1" wp14:anchorId="3FAE7443" wp14:editId="22AF14EB">
                  <wp:simplePos x="0" y="0"/>
                  <wp:positionH relativeFrom="column">
                    <wp:posOffset>18415</wp:posOffset>
                  </wp:positionH>
                  <wp:positionV relativeFrom="paragraph">
                    <wp:posOffset>130810</wp:posOffset>
                  </wp:positionV>
                  <wp:extent cx="491490" cy="537210"/>
                  <wp:effectExtent l="0" t="0" r="3810" b="0"/>
                  <wp:wrapTopAndBottom/>
                  <wp:docPr id="153684927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490" cy="53721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26" w:type="pct"/>
          </w:tcPr>
          <w:p w14:paraId="36FA8A11" w14:textId="62EF88EB" w:rsidR="007E3FAA" w:rsidRPr="0027216C" w:rsidRDefault="00D74C52">
            <w:pPr>
              <w:pStyle w:val="TD"/>
              <w:widowControl w:val="0"/>
              <w:ind w:left="0"/>
              <w:rPr>
                <w:rFonts w:cs="Segoe UI"/>
                <w:sz w:val="18"/>
                <w:szCs w:val="18"/>
                <w:lang w:val="en-US" w:bidi="ar-SA"/>
              </w:rPr>
            </w:pPr>
            <w:r>
              <w:rPr>
                <w:rFonts w:cs="Segoe UI"/>
                <w:sz w:val="18"/>
                <w:szCs w:val="18"/>
                <w:lang w:val="en-GB"/>
              </w:rPr>
              <w:t>„</w:t>
            </w:r>
            <w:proofErr w:type="gramStart"/>
            <w:r w:rsidR="00A42038" w:rsidRPr="0027216C">
              <w:rPr>
                <w:rFonts w:cs="Segoe UI"/>
                <w:sz w:val="18"/>
                <w:szCs w:val="18"/>
                <w:lang w:val="en-GB" w:bidi="ar-SA"/>
              </w:rPr>
              <w:t>treatment</w:t>
            </w:r>
            <w:proofErr w:type="gramEnd"/>
            <w:r w:rsidR="00A42038" w:rsidRPr="0027216C">
              <w:rPr>
                <w:rFonts w:cs="Segoe UI"/>
                <w:sz w:val="18"/>
                <w:szCs w:val="18"/>
                <w:lang w:val="en-GB" w:bidi="ar-SA"/>
              </w:rPr>
              <w:t xml:space="preserve"> </w:t>
            </w:r>
            <w:proofErr w:type="gramStart"/>
            <w:r w:rsidR="00A42038" w:rsidRPr="0027216C">
              <w:rPr>
                <w:rFonts w:cs="Segoe UI"/>
                <w:sz w:val="18"/>
                <w:szCs w:val="18"/>
                <w:lang w:val="en-GB" w:bidi="ar-SA"/>
              </w:rPr>
              <w:t>plan</w:t>
            </w:r>
            <w:r w:rsidR="0004741B">
              <w:rPr>
                <w:rFonts w:cs="Segoe UI"/>
                <w:sz w:val="18"/>
                <w:szCs w:val="18"/>
                <w:lang w:val="en-GB"/>
              </w:rPr>
              <w:t>“</w:t>
            </w:r>
            <w:r w:rsidR="00A42038" w:rsidRPr="0027216C">
              <w:rPr>
                <w:rFonts w:cs="Segoe UI"/>
                <w:sz w:val="18"/>
                <w:szCs w:val="18"/>
                <w:lang w:val="en-GB" w:bidi="ar-SA"/>
              </w:rPr>
              <w:t xml:space="preserve"> von</w:t>
            </w:r>
            <w:proofErr w:type="gramEnd"/>
            <w:r w:rsidR="00A42038" w:rsidRPr="0027216C">
              <w:rPr>
                <w:rFonts w:cs="Segoe UI"/>
                <w:sz w:val="18"/>
                <w:szCs w:val="18"/>
                <w:lang w:val="en-GB" w:bidi="ar-SA"/>
              </w:rPr>
              <w:t xml:space="preserve"> </w:t>
            </w:r>
            <w:r w:rsidR="00A42038" w:rsidRPr="0027216C">
              <w:rPr>
                <w:rFonts w:cs="Segoe UI"/>
                <w:sz w:val="18"/>
                <w:szCs w:val="18"/>
                <w:lang w:val="en-US" w:bidi="ar-SA"/>
              </w:rPr>
              <w:t>LAFS</w:t>
            </w:r>
            <w:r w:rsidR="00A42038" w:rsidRPr="0027216C">
              <w:rPr>
                <w:rFonts w:cs="Segoe UI"/>
                <w:sz w:val="18"/>
                <w:szCs w:val="18"/>
                <w:lang w:val="en-GB" w:bidi="ar-SA"/>
              </w:rPr>
              <w:t>, Lizenz: Creative Commons CC BY 3.0</w:t>
            </w:r>
          </w:p>
          <w:p w14:paraId="448F822C" w14:textId="77777777" w:rsidR="007E3FAA" w:rsidRPr="0027216C" w:rsidRDefault="00A42038">
            <w:pPr>
              <w:pStyle w:val="TD"/>
              <w:widowControl w:val="0"/>
              <w:ind w:left="0"/>
              <w:rPr>
                <w:rFonts w:cs="Segoe UI"/>
                <w:sz w:val="18"/>
                <w:szCs w:val="18"/>
                <w:lang w:val="en-GB" w:bidi="ar-SA"/>
              </w:rPr>
            </w:pPr>
            <w:hyperlink r:id="rId89" w:history="1">
              <w:r w:rsidRPr="0027216C">
                <w:rPr>
                  <w:rStyle w:val="Hyperlink"/>
                  <w:rFonts w:cs="Segoe UI"/>
                  <w:sz w:val="18"/>
                  <w:szCs w:val="18"/>
                  <w:lang w:val="en-GB" w:bidi="ar-SA"/>
                </w:rPr>
                <w:t>https://thenounproject.com/icon/treatment-plan-1958107/</w:t>
              </w:r>
            </w:hyperlink>
          </w:p>
          <w:p w14:paraId="50819D36" w14:textId="77777777" w:rsidR="007E3FAA" w:rsidRPr="0027216C" w:rsidRDefault="007E3FAA">
            <w:pPr>
              <w:pStyle w:val="TD"/>
              <w:widowControl w:val="0"/>
              <w:rPr>
                <w:rFonts w:cs="Segoe UI"/>
                <w:sz w:val="18"/>
                <w:szCs w:val="18"/>
                <w:lang w:val="en-GB" w:bidi="ar-SA"/>
              </w:rPr>
            </w:pPr>
          </w:p>
        </w:tc>
      </w:tr>
      <w:tr w:rsidR="00B2073A" w:rsidRPr="00595E44" w14:paraId="0BE8E1BC" w14:textId="77777777" w:rsidTr="00AE5135">
        <w:trPr>
          <w:trHeight w:val="964"/>
        </w:trPr>
        <w:tc>
          <w:tcPr>
            <w:tcW w:w="974" w:type="pct"/>
          </w:tcPr>
          <w:p w14:paraId="194993DD" w14:textId="77777777" w:rsidR="007E3FAA" w:rsidRPr="0027216C" w:rsidRDefault="00A42038">
            <w:pPr>
              <w:pStyle w:val="Tabellenkopf"/>
              <w:keepNext w:val="0"/>
              <w:keepLines w:val="0"/>
              <w:widowControl w:val="0"/>
              <w:spacing w:before="40" w:after="40"/>
              <w:jc w:val="both"/>
              <w:rPr>
                <w:noProof/>
                <w:lang w:val="en-US"/>
              </w:rPr>
            </w:pPr>
            <w:r w:rsidRPr="0027216C">
              <w:rPr>
                <w:noProof/>
                <w:lang w:eastAsia="de-AT" w:bidi="ar-SA"/>
              </w:rPr>
              <w:drawing>
                <wp:anchor distT="0" distB="0" distL="114300" distR="114300" simplePos="0" relativeHeight="251756544" behindDoc="0" locked="0" layoutInCell="1" allowOverlap="1" wp14:anchorId="31C24866" wp14:editId="05604068">
                  <wp:simplePos x="0" y="0"/>
                  <wp:positionH relativeFrom="column">
                    <wp:posOffset>-43815</wp:posOffset>
                  </wp:positionH>
                  <wp:positionV relativeFrom="paragraph">
                    <wp:posOffset>94615</wp:posOffset>
                  </wp:positionV>
                  <wp:extent cx="669851" cy="578734"/>
                  <wp:effectExtent l="0" t="0" r="0" b="0"/>
                  <wp:wrapSquare wrapText="bothSides"/>
                  <wp:docPr id="14186848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5453" name="Grafik 1" descr="Ein Bild, das Schwarz, Dunkelheit enthält.&#10;&#10;Automatisch generierte Beschreibung"/>
                          <pic:cNvPicPr/>
                        </pic:nvPicPr>
                        <pic:blipFill rotWithShape="1">
                          <a:blip r:embed="rId21" cstate="print">
                            <a:extLst>
                              <a:ext uri="{28A0092B-C50C-407E-A947-70E740481C1C}">
                                <a14:useLocalDpi xmlns:a14="http://schemas.microsoft.com/office/drawing/2010/main" val="0"/>
                              </a:ext>
                            </a:extLst>
                          </a:blip>
                          <a:srcRect b="13602"/>
                          <a:stretch/>
                        </pic:blipFill>
                        <pic:spPr bwMode="auto">
                          <a:xfrm>
                            <a:off x="0" y="0"/>
                            <a:ext cx="669851" cy="578734"/>
                          </a:xfrm>
                          <a:prstGeom prst="rect">
                            <a:avLst/>
                          </a:prstGeom>
                          <a:ln>
                            <a:noFill/>
                          </a:ln>
                          <a:extLst>
                            <a:ext uri="{53640926-AAD7-44D8-BBD7-CCE9431645EC}">
                              <a14:shadowObscured xmlns:a14="http://schemas.microsoft.com/office/drawing/2010/main"/>
                            </a:ext>
                          </a:extLst>
                        </pic:spPr>
                      </pic:pic>
                    </a:graphicData>
                  </a:graphic>
                </wp:anchor>
              </w:drawing>
            </w:r>
          </w:p>
        </w:tc>
        <w:tc>
          <w:tcPr>
            <w:tcW w:w="4026" w:type="pct"/>
          </w:tcPr>
          <w:p w14:paraId="36BA572F" w14:textId="343D415B" w:rsidR="007E3FAA" w:rsidRPr="0027216C" w:rsidRDefault="00D74C52">
            <w:pPr>
              <w:pStyle w:val="TD"/>
              <w:widowControl w:val="0"/>
              <w:rPr>
                <w:rFonts w:cs="Segoe UI"/>
                <w:sz w:val="18"/>
                <w:szCs w:val="18"/>
                <w:lang w:val="en-GB" w:bidi="ar-SA"/>
              </w:rPr>
            </w:pPr>
            <w:r>
              <w:rPr>
                <w:rFonts w:cs="Segoe UI"/>
                <w:sz w:val="18"/>
                <w:szCs w:val="18"/>
                <w:lang w:val="en-GB"/>
              </w:rPr>
              <w:t>„</w:t>
            </w:r>
            <w:r w:rsidR="00031B58">
              <w:rPr>
                <w:rFonts w:cs="Segoe UI"/>
                <w:sz w:val="18"/>
                <w:szCs w:val="18"/>
                <w:lang w:val="en-GB" w:bidi="ar-SA"/>
              </w:rPr>
              <w:t>P</w:t>
            </w:r>
            <w:r w:rsidR="00A42038" w:rsidRPr="0027216C">
              <w:rPr>
                <w:rFonts w:cs="Segoe UI"/>
                <w:sz w:val="18"/>
                <w:szCs w:val="18"/>
                <w:lang w:val="en-GB" w:bidi="ar-SA"/>
              </w:rPr>
              <w:t xml:space="preserve">atient </w:t>
            </w:r>
            <w:proofErr w:type="gramStart"/>
            <w:r w:rsidR="00A42038" w:rsidRPr="0027216C">
              <w:rPr>
                <w:rFonts w:cs="Segoe UI"/>
                <w:sz w:val="18"/>
                <w:szCs w:val="18"/>
                <w:lang w:val="en-GB" w:bidi="ar-SA"/>
              </w:rPr>
              <w:t>information</w:t>
            </w:r>
            <w:r w:rsidR="0004741B">
              <w:rPr>
                <w:rFonts w:cs="Segoe UI"/>
                <w:sz w:val="18"/>
                <w:szCs w:val="18"/>
                <w:lang w:val="en-GB"/>
              </w:rPr>
              <w:t>“</w:t>
            </w:r>
            <w:r w:rsidR="00A42038" w:rsidRPr="0027216C">
              <w:rPr>
                <w:rFonts w:cs="Segoe UI"/>
                <w:sz w:val="18"/>
                <w:szCs w:val="18"/>
                <w:lang w:val="en-GB" w:bidi="ar-SA"/>
              </w:rPr>
              <w:t xml:space="preserve"> von</w:t>
            </w:r>
            <w:proofErr w:type="gramEnd"/>
            <w:r w:rsidR="00A42038" w:rsidRPr="0027216C">
              <w:rPr>
                <w:rFonts w:cs="Segoe UI"/>
                <w:sz w:val="18"/>
                <w:szCs w:val="18"/>
                <w:lang w:val="en-GB" w:bidi="ar-SA"/>
              </w:rPr>
              <w:t xml:space="preserve"> </w:t>
            </w:r>
            <w:proofErr w:type="spellStart"/>
            <w:r w:rsidR="00A42038" w:rsidRPr="0027216C">
              <w:rPr>
                <w:rFonts w:cs="Segoe UI"/>
                <w:sz w:val="18"/>
                <w:szCs w:val="18"/>
                <w:lang w:val="en-GB" w:bidi="ar-SA"/>
              </w:rPr>
              <w:t>monkik</w:t>
            </w:r>
            <w:proofErr w:type="spellEnd"/>
            <w:r w:rsidR="00A42038" w:rsidRPr="0027216C">
              <w:rPr>
                <w:rFonts w:cs="Segoe UI"/>
                <w:sz w:val="18"/>
                <w:szCs w:val="18"/>
                <w:lang w:val="en-GB" w:bidi="ar-SA"/>
              </w:rPr>
              <w:t>, Lizenz: Creative Commons CC BY 3.0</w:t>
            </w:r>
          </w:p>
          <w:p w14:paraId="25AF6E02" w14:textId="77777777" w:rsidR="007E3FAA" w:rsidRPr="0027216C" w:rsidRDefault="00A42038">
            <w:pPr>
              <w:pStyle w:val="TD"/>
              <w:widowControl w:val="0"/>
              <w:rPr>
                <w:rFonts w:cs="Segoe UI"/>
                <w:sz w:val="18"/>
                <w:szCs w:val="18"/>
                <w:lang w:val="en-GB" w:bidi="ar-SA"/>
              </w:rPr>
            </w:pPr>
            <w:hyperlink r:id="rId90" w:history="1">
              <w:r w:rsidRPr="0027216C">
                <w:rPr>
                  <w:rStyle w:val="Hyperlink"/>
                  <w:rFonts w:cs="Segoe UI"/>
                  <w:sz w:val="18"/>
                  <w:szCs w:val="18"/>
                  <w:lang w:val="en-GB" w:bidi="ar-SA"/>
                </w:rPr>
                <w:t>https://thenounproject.com/icon/patient-information-3382167/</w:t>
              </w:r>
            </w:hyperlink>
          </w:p>
          <w:p w14:paraId="561C0496" w14:textId="77777777" w:rsidR="007E3FAA" w:rsidRPr="0027216C" w:rsidRDefault="007E3FAA">
            <w:pPr>
              <w:pStyle w:val="TD"/>
              <w:widowControl w:val="0"/>
              <w:rPr>
                <w:rFonts w:cs="Segoe UI"/>
                <w:sz w:val="18"/>
                <w:szCs w:val="18"/>
                <w:lang w:val="en-GB" w:bidi="ar-SA"/>
              </w:rPr>
            </w:pPr>
          </w:p>
        </w:tc>
      </w:tr>
      <w:tr w:rsidR="00B2073A" w:rsidRPr="00595E44" w14:paraId="77545825" w14:textId="77777777" w:rsidTr="00AE5135">
        <w:trPr>
          <w:trHeight w:val="964"/>
        </w:trPr>
        <w:tc>
          <w:tcPr>
            <w:tcW w:w="974" w:type="pct"/>
          </w:tcPr>
          <w:p w14:paraId="0028AAB7" w14:textId="77777777" w:rsidR="007E3FAA" w:rsidRPr="0027216C" w:rsidRDefault="00A42038">
            <w:pPr>
              <w:pStyle w:val="Tabellenkopf"/>
              <w:keepNext w:val="0"/>
              <w:keepLines w:val="0"/>
              <w:widowControl w:val="0"/>
              <w:spacing w:before="40" w:after="40"/>
              <w:jc w:val="both"/>
              <w:rPr>
                <w:lang w:val="en-GB"/>
              </w:rPr>
            </w:pPr>
            <w:r w:rsidRPr="0027216C">
              <w:rPr>
                <w:noProof/>
                <w:lang w:eastAsia="de-AT" w:bidi="ar-SA"/>
              </w:rPr>
              <w:lastRenderedPageBreak/>
              <w:drawing>
                <wp:anchor distT="0" distB="0" distL="114300" distR="114300" simplePos="0" relativeHeight="251761664" behindDoc="0" locked="0" layoutInCell="1" allowOverlap="1" wp14:anchorId="589396F8" wp14:editId="311382FC">
                  <wp:simplePos x="0" y="0"/>
                  <wp:positionH relativeFrom="column">
                    <wp:posOffset>93980</wp:posOffset>
                  </wp:positionH>
                  <wp:positionV relativeFrom="paragraph">
                    <wp:posOffset>139700</wp:posOffset>
                  </wp:positionV>
                  <wp:extent cx="521335" cy="444500"/>
                  <wp:effectExtent l="318" t="0" r="0" b="0"/>
                  <wp:wrapSquare wrapText="bothSides"/>
                  <wp:docPr id="451352614"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89754" name="Grafik 1" descr="Ein Bild, das Schwarz, Dunkelheit enthält.&#10;&#10;Automatisch generierte Beschreibung"/>
                          <pic:cNvPicPr/>
                        </pic:nvPicPr>
                        <pic:blipFill rotWithShape="1">
                          <a:blip r:embed="rId22" cstate="print">
                            <a:extLst>
                              <a:ext uri="{28A0092B-C50C-407E-A947-70E740481C1C}">
                                <a14:useLocalDpi xmlns:a14="http://schemas.microsoft.com/office/drawing/2010/main" val="0"/>
                              </a:ext>
                            </a:extLst>
                          </a:blip>
                          <a:srcRect b="14808"/>
                          <a:stretch/>
                        </pic:blipFill>
                        <pic:spPr bwMode="auto">
                          <a:xfrm rot="16200000">
                            <a:off x="0" y="0"/>
                            <a:ext cx="521335" cy="44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26" w:type="pct"/>
          </w:tcPr>
          <w:p w14:paraId="3329D18C" w14:textId="4509E150" w:rsidR="007E3FAA" w:rsidRPr="0027216C" w:rsidRDefault="00D74C52">
            <w:pPr>
              <w:pStyle w:val="TD"/>
              <w:widowControl w:val="0"/>
              <w:rPr>
                <w:rFonts w:cs="Segoe UI"/>
                <w:sz w:val="18"/>
                <w:szCs w:val="18"/>
                <w:lang w:val="en-GB" w:bidi="ar-SA"/>
              </w:rPr>
            </w:pPr>
            <w:r>
              <w:rPr>
                <w:rFonts w:cs="Segoe UI"/>
                <w:sz w:val="18"/>
                <w:szCs w:val="18"/>
                <w:lang w:val="en-GB"/>
              </w:rPr>
              <w:t>„</w:t>
            </w:r>
            <w:proofErr w:type="gramStart"/>
            <w:r w:rsidR="00A42038" w:rsidRPr="0027216C">
              <w:rPr>
                <w:rFonts w:cs="Segoe UI"/>
                <w:sz w:val="18"/>
                <w:szCs w:val="18"/>
                <w:lang w:val="en-GB" w:bidi="ar-SA"/>
              </w:rPr>
              <w:t>ankle</w:t>
            </w:r>
            <w:proofErr w:type="gramEnd"/>
            <w:r w:rsidR="00A42038" w:rsidRPr="0027216C">
              <w:rPr>
                <w:rFonts w:cs="Segoe UI"/>
                <w:sz w:val="18"/>
                <w:szCs w:val="18"/>
                <w:lang w:val="en-GB" w:bidi="ar-SA"/>
              </w:rPr>
              <w:t xml:space="preserve"> foot </w:t>
            </w:r>
            <w:proofErr w:type="gramStart"/>
            <w:r w:rsidR="00A42038" w:rsidRPr="0027216C">
              <w:rPr>
                <w:rFonts w:cs="Segoe UI"/>
                <w:sz w:val="18"/>
                <w:szCs w:val="18"/>
                <w:lang w:val="en-GB" w:bidi="ar-SA"/>
              </w:rPr>
              <w:t>orthosis</w:t>
            </w:r>
            <w:r w:rsidR="0004741B">
              <w:rPr>
                <w:rFonts w:cs="Segoe UI"/>
                <w:sz w:val="18"/>
                <w:szCs w:val="18"/>
                <w:lang w:val="en-GB"/>
              </w:rPr>
              <w:t>“</w:t>
            </w:r>
            <w:r w:rsidR="00A42038" w:rsidRPr="0027216C">
              <w:rPr>
                <w:rFonts w:cs="Segoe UI"/>
                <w:sz w:val="18"/>
                <w:szCs w:val="18"/>
                <w:lang w:val="en-GB" w:bidi="ar-SA"/>
              </w:rPr>
              <w:t xml:space="preserve"> von</w:t>
            </w:r>
            <w:proofErr w:type="gramEnd"/>
            <w:r w:rsidR="00A42038" w:rsidRPr="0027216C">
              <w:rPr>
                <w:rFonts w:cs="Segoe UI"/>
                <w:sz w:val="18"/>
                <w:szCs w:val="18"/>
                <w:lang w:val="en-GB" w:bidi="ar-SA"/>
              </w:rPr>
              <w:t xml:space="preserve"> </w:t>
            </w:r>
            <w:proofErr w:type="spellStart"/>
            <w:r w:rsidR="00A42038" w:rsidRPr="0027216C">
              <w:rPr>
                <w:rFonts w:cs="Segoe UI"/>
                <w:sz w:val="18"/>
                <w:szCs w:val="18"/>
                <w:lang w:val="en-GB" w:bidi="ar-SA"/>
              </w:rPr>
              <w:t>iconfi</w:t>
            </w:r>
            <w:r w:rsidR="00031B58">
              <w:rPr>
                <w:rFonts w:cs="Segoe UI"/>
                <w:sz w:val="18"/>
                <w:szCs w:val="18"/>
                <w:lang w:val="en-GB" w:bidi="ar-SA"/>
              </w:rPr>
              <w:t>e</w:t>
            </w:r>
            <w:r w:rsidR="00A42038" w:rsidRPr="0027216C">
              <w:rPr>
                <w:rFonts w:cs="Segoe UI"/>
                <w:sz w:val="18"/>
                <w:szCs w:val="18"/>
                <w:lang w:val="en-GB" w:bidi="ar-SA"/>
              </w:rPr>
              <w:t>ld</w:t>
            </w:r>
            <w:proofErr w:type="spellEnd"/>
            <w:r w:rsidR="00A42038" w:rsidRPr="0027216C">
              <w:rPr>
                <w:rFonts w:cs="Segoe UI"/>
                <w:sz w:val="18"/>
                <w:szCs w:val="18"/>
                <w:lang w:val="en-GB" w:bidi="ar-SA"/>
              </w:rPr>
              <w:t>, Lizenz: Creative Commons CC BY 3.0</w:t>
            </w:r>
          </w:p>
          <w:p w14:paraId="6658C1FF" w14:textId="77777777" w:rsidR="007E3FAA" w:rsidRPr="0027216C" w:rsidRDefault="00A42038">
            <w:pPr>
              <w:pStyle w:val="TD"/>
              <w:widowControl w:val="0"/>
              <w:rPr>
                <w:rFonts w:cs="Segoe UI"/>
                <w:sz w:val="18"/>
                <w:szCs w:val="18"/>
                <w:lang w:val="en-GB" w:bidi="ar-SA"/>
              </w:rPr>
            </w:pPr>
            <w:hyperlink r:id="rId91" w:history="1">
              <w:r w:rsidRPr="0027216C">
                <w:rPr>
                  <w:rStyle w:val="Hyperlink"/>
                  <w:rFonts w:cs="Segoe UI"/>
                  <w:sz w:val="18"/>
                  <w:szCs w:val="18"/>
                  <w:lang w:val="en-GB" w:bidi="ar-SA"/>
                </w:rPr>
                <w:t>https://thenounproject.com/icon/ankle-foot-orthosis-5147653/</w:t>
              </w:r>
            </w:hyperlink>
          </w:p>
          <w:p w14:paraId="76174F91" w14:textId="77777777" w:rsidR="007E3FAA" w:rsidRPr="0027216C" w:rsidRDefault="007E3FAA">
            <w:pPr>
              <w:pStyle w:val="TD"/>
              <w:widowControl w:val="0"/>
              <w:rPr>
                <w:rFonts w:cs="Segoe UI"/>
                <w:sz w:val="18"/>
                <w:szCs w:val="18"/>
                <w:lang w:val="en-GB" w:bidi="ar-SA"/>
              </w:rPr>
            </w:pPr>
          </w:p>
        </w:tc>
      </w:tr>
      <w:tr w:rsidR="00B2073A" w:rsidRPr="00595E44" w14:paraId="38792B58" w14:textId="77777777" w:rsidTr="00AE5135">
        <w:trPr>
          <w:trHeight w:val="964"/>
        </w:trPr>
        <w:tc>
          <w:tcPr>
            <w:tcW w:w="974" w:type="pct"/>
          </w:tcPr>
          <w:p w14:paraId="79C687FD" w14:textId="77777777" w:rsidR="007E3FAA" w:rsidRPr="0027216C" w:rsidRDefault="00A42038">
            <w:pPr>
              <w:pStyle w:val="Tabellenkopf"/>
              <w:keepNext w:val="0"/>
              <w:keepLines w:val="0"/>
              <w:widowControl w:val="0"/>
              <w:spacing w:before="40" w:after="40"/>
              <w:jc w:val="both"/>
              <w:rPr>
                <w:lang w:val="en-GB"/>
              </w:rPr>
            </w:pPr>
            <w:r w:rsidRPr="0027216C">
              <w:rPr>
                <w:noProof/>
                <w:lang w:eastAsia="de-AT" w:bidi="ar-SA"/>
              </w:rPr>
              <w:drawing>
                <wp:anchor distT="0" distB="0" distL="114300" distR="114300" simplePos="0" relativeHeight="251762688" behindDoc="0" locked="0" layoutInCell="1" allowOverlap="1" wp14:anchorId="5494BDAF" wp14:editId="693DCEFE">
                  <wp:simplePos x="0" y="0"/>
                  <wp:positionH relativeFrom="column">
                    <wp:posOffset>12845</wp:posOffset>
                  </wp:positionH>
                  <wp:positionV relativeFrom="paragraph">
                    <wp:posOffset>52086</wp:posOffset>
                  </wp:positionV>
                  <wp:extent cx="590843" cy="509286"/>
                  <wp:effectExtent l="0" t="0" r="0" b="5080"/>
                  <wp:wrapTopAndBottom/>
                  <wp:docPr id="1023667752"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67752" name="Grafik 1" descr="Ein Bild, das Schwarz, Dunkelheit enthält.&#10;&#10;Automatisch generierte Beschreibung"/>
                          <pic:cNvPicPr/>
                        </pic:nvPicPr>
                        <pic:blipFill rotWithShape="1">
                          <a:blip r:embed="rId23" cstate="print">
                            <a:extLst>
                              <a:ext uri="{28A0092B-C50C-407E-A947-70E740481C1C}">
                                <a14:useLocalDpi xmlns:a14="http://schemas.microsoft.com/office/drawing/2010/main" val="0"/>
                              </a:ext>
                            </a:extLst>
                          </a:blip>
                          <a:srcRect b="13804"/>
                          <a:stretch/>
                        </pic:blipFill>
                        <pic:spPr bwMode="auto">
                          <a:xfrm>
                            <a:off x="0" y="0"/>
                            <a:ext cx="590843" cy="509286"/>
                          </a:xfrm>
                          <a:prstGeom prst="rect">
                            <a:avLst/>
                          </a:prstGeom>
                          <a:ln>
                            <a:noFill/>
                          </a:ln>
                          <a:extLst>
                            <a:ext uri="{53640926-AAD7-44D8-BBD7-CCE9431645EC}">
                              <a14:shadowObscured xmlns:a14="http://schemas.microsoft.com/office/drawing/2010/main"/>
                            </a:ext>
                          </a:extLst>
                        </pic:spPr>
                      </pic:pic>
                    </a:graphicData>
                  </a:graphic>
                </wp:anchor>
              </w:drawing>
            </w:r>
          </w:p>
        </w:tc>
        <w:tc>
          <w:tcPr>
            <w:tcW w:w="4026" w:type="pct"/>
          </w:tcPr>
          <w:p w14:paraId="505BDB30" w14:textId="04EA6B5B" w:rsidR="007E3FAA" w:rsidRPr="0027216C" w:rsidRDefault="00D74C52">
            <w:pPr>
              <w:pStyle w:val="TD"/>
              <w:widowControl w:val="0"/>
              <w:rPr>
                <w:rFonts w:cs="Segoe UI"/>
                <w:sz w:val="18"/>
                <w:szCs w:val="18"/>
                <w:lang w:val="en-GB" w:bidi="ar-SA"/>
              </w:rPr>
            </w:pPr>
            <w:r>
              <w:rPr>
                <w:rFonts w:cs="Segoe UI"/>
                <w:sz w:val="18"/>
                <w:szCs w:val="18"/>
                <w:lang w:val="en-GB"/>
              </w:rPr>
              <w:t>„</w:t>
            </w:r>
            <w:proofErr w:type="gramStart"/>
            <w:r w:rsidR="00031B58">
              <w:rPr>
                <w:rFonts w:cs="Segoe UI"/>
                <w:sz w:val="18"/>
                <w:szCs w:val="18"/>
                <w:lang w:val="en-GB" w:bidi="ar-SA"/>
              </w:rPr>
              <w:t>T</w:t>
            </w:r>
            <w:r w:rsidR="00A42038" w:rsidRPr="0027216C">
              <w:rPr>
                <w:rFonts w:cs="Segoe UI"/>
                <w:sz w:val="18"/>
                <w:szCs w:val="18"/>
                <w:lang w:val="en-GB" w:bidi="ar-SA"/>
              </w:rPr>
              <w:t>elemedicine</w:t>
            </w:r>
            <w:r w:rsidR="0004741B">
              <w:rPr>
                <w:rFonts w:cs="Segoe UI"/>
                <w:sz w:val="18"/>
                <w:szCs w:val="18"/>
                <w:lang w:val="en-GB"/>
              </w:rPr>
              <w:t>“</w:t>
            </w:r>
            <w:r w:rsidR="00A42038" w:rsidRPr="0027216C">
              <w:rPr>
                <w:rFonts w:cs="Segoe UI"/>
                <w:sz w:val="18"/>
                <w:szCs w:val="18"/>
                <w:lang w:val="en-GB" w:bidi="ar-SA"/>
              </w:rPr>
              <w:t xml:space="preserve"> von</w:t>
            </w:r>
            <w:proofErr w:type="gramEnd"/>
            <w:r w:rsidR="00A42038" w:rsidRPr="0027216C">
              <w:rPr>
                <w:rFonts w:cs="Segoe UI"/>
                <w:sz w:val="18"/>
                <w:szCs w:val="18"/>
                <w:lang w:val="en-GB" w:bidi="ar-SA"/>
              </w:rPr>
              <w:t xml:space="preserve"> Luis Prado, Lizenz: Creative Commons CC BY 3.0</w:t>
            </w:r>
          </w:p>
          <w:p w14:paraId="6EF49807" w14:textId="77777777" w:rsidR="007E3FAA" w:rsidRPr="0027216C" w:rsidRDefault="00A42038">
            <w:pPr>
              <w:pStyle w:val="TD"/>
              <w:widowControl w:val="0"/>
              <w:rPr>
                <w:rFonts w:cs="Segoe UI"/>
                <w:sz w:val="18"/>
                <w:szCs w:val="18"/>
                <w:lang w:val="en-GB" w:bidi="ar-SA"/>
              </w:rPr>
            </w:pPr>
            <w:hyperlink r:id="rId92" w:history="1">
              <w:r w:rsidRPr="0027216C">
                <w:rPr>
                  <w:rStyle w:val="Hyperlink"/>
                  <w:rFonts w:cs="Segoe UI"/>
                  <w:sz w:val="18"/>
                  <w:szCs w:val="18"/>
                  <w:lang w:val="en-GB" w:bidi="ar-SA"/>
                </w:rPr>
                <w:t>https://thenounproject.com/icon/telemedicine-4051911/</w:t>
              </w:r>
            </w:hyperlink>
          </w:p>
        </w:tc>
      </w:tr>
      <w:tr w:rsidR="00B2073A" w:rsidRPr="00595E44" w14:paraId="0D84448D" w14:textId="77777777" w:rsidTr="00AE5135">
        <w:trPr>
          <w:trHeight w:val="964"/>
        </w:trPr>
        <w:tc>
          <w:tcPr>
            <w:tcW w:w="974" w:type="pct"/>
          </w:tcPr>
          <w:p w14:paraId="1B80B0E7" w14:textId="77777777" w:rsidR="007E3FAA" w:rsidRPr="0027216C" w:rsidRDefault="00A42038">
            <w:pPr>
              <w:pStyle w:val="Tabellenkopf"/>
              <w:keepNext w:val="0"/>
              <w:keepLines w:val="0"/>
              <w:widowControl w:val="0"/>
              <w:spacing w:before="40" w:after="40"/>
              <w:jc w:val="both"/>
              <w:rPr>
                <w:lang w:val="en-GB"/>
              </w:rPr>
            </w:pPr>
            <w:r w:rsidRPr="0027216C">
              <w:rPr>
                <w:noProof/>
                <w:lang w:eastAsia="de-AT" w:bidi="ar-SA"/>
              </w:rPr>
              <w:drawing>
                <wp:anchor distT="0" distB="0" distL="114300" distR="114300" simplePos="0" relativeHeight="251767808" behindDoc="0" locked="0" layoutInCell="1" allowOverlap="1" wp14:anchorId="033AE01C" wp14:editId="04B452FD">
                  <wp:simplePos x="0" y="0"/>
                  <wp:positionH relativeFrom="column">
                    <wp:posOffset>52086</wp:posOffset>
                  </wp:positionH>
                  <wp:positionV relativeFrom="paragraph">
                    <wp:posOffset>140463</wp:posOffset>
                  </wp:positionV>
                  <wp:extent cx="659130" cy="502920"/>
                  <wp:effectExtent l="0" t="0" r="0" b="0"/>
                  <wp:wrapSquare wrapText="bothSides"/>
                  <wp:docPr id="1139160178"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55237" name="Grafik 1" descr="Ein Bild, das Schwarz, Dunkelheit enthält.&#10;&#10;Automatisch generierte Beschreibung"/>
                          <pic:cNvPicPr/>
                        </pic:nvPicPr>
                        <pic:blipFill rotWithShape="1">
                          <a:blip r:embed="rId93" cstate="print">
                            <a:extLst>
                              <a:ext uri="{28A0092B-C50C-407E-A947-70E740481C1C}">
                                <a14:useLocalDpi xmlns:a14="http://schemas.microsoft.com/office/drawing/2010/main" val="0"/>
                              </a:ext>
                            </a:extLst>
                          </a:blip>
                          <a:srcRect b="23649"/>
                          <a:stretch/>
                        </pic:blipFill>
                        <pic:spPr bwMode="auto">
                          <a:xfrm>
                            <a:off x="0" y="0"/>
                            <a:ext cx="659130"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26" w:type="pct"/>
          </w:tcPr>
          <w:p w14:paraId="330F50E8" w14:textId="453E16D9" w:rsidR="007E3FAA" w:rsidRPr="0027216C" w:rsidRDefault="00D74C52">
            <w:pPr>
              <w:pStyle w:val="TD"/>
              <w:widowControl w:val="0"/>
              <w:rPr>
                <w:rFonts w:cs="Segoe UI"/>
                <w:sz w:val="18"/>
                <w:szCs w:val="18"/>
                <w:lang w:val="en-GB" w:bidi="ar-SA"/>
              </w:rPr>
            </w:pPr>
            <w:r>
              <w:rPr>
                <w:rFonts w:cs="Segoe UI"/>
                <w:sz w:val="18"/>
                <w:szCs w:val="18"/>
                <w:lang w:val="en-GB"/>
              </w:rPr>
              <w:t>„</w:t>
            </w:r>
            <w:proofErr w:type="gramStart"/>
            <w:r w:rsidR="00031B58">
              <w:rPr>
                <w:rFonts w:cs="Segoe UI"/>
                <w:sz w:val="18"/>
                <w:szCs w:val="18"/>
                <w:lang w:val="en-GB" w:bidi="ar-SA"/>
              </w:rPr>
              <w:t>B</w:t>
            </w:r>
            <w:r w:rsidR="00A42038" w:rsidRPr="0027216C">
              <w:rPr>
                <w:rFonts w:cs="Segoe UI"/>
                <w:sz w:val="18"/>
                <w:szCs w:val="18"/>
                <w:lang w:val="en-GB" w:bidi="ar-SA"/>
              </w:rPr>
              <w:t>enchmarking</w:t>
            </w:r>
            <w:r w:rsidR="0004741B">
              <w:rPr>
                <w:rFonts w:cs="Segoe UI"/>
                <w:sz w:val="18"/>
                <w:szCs w:val="18"/>
                <w:lang w:val="en-GB"/>
              </w:rPr>
              <w:t>“</w:t>
            </w:r>
            <w:r w:rsidR="00A42038" w:rsidRPr="0027216C">
              <w:rPr>
                <w:rFonts w:cs="Segoe UI"/>
                <w:sz w:val="18"/>
                <w:szCs w:val="18"/>
                <w:lang w:val="en-GB" w:bidi="ar-SA"/>
              </w:rPr>
              <w:t xml:space="preserve"> von</w:t>
            </w:r>
            <w:proofErr w:type="gramEnd"/>
            <w:r w:rsidR="00A42038" w:rsidRPr="0027216C">
              <w:rPr>
                <w:rFonts w:cs="Segoe UI"/>
                <w:sz w:val="18"/>
                <w:szCs w:val="18"/>
                <w:lang w:val="en-GB" w:bidi="ar-SA"/>
              </w:rPr>
              <w:t xml:space="preserve"> Slamet Widodo, Lizenz: Creative Commons CC BY 3.0</w:t>
            </w:r>
          </w:p>
          <w:p w14:paraId="6D9F9697" w14:textId="77C6FB02" w:rsidR="007E3FAA" w:rsidRPr="00503BFF" w:rsidRDefault="00503BFF">
            <w:pPr>
              <w:pStyle w:val="TD"/>
              <w:widowControl w:val="0"/>
              <w:rPr>
                <w:rStyle w:val="Hyperlink"/>
                <w:sz w:val="17"/>
                <w:szCs w:val="17"/>
                <w:lang w:val="en-GB"/>
              </w:rPr>
            </w:pPr>
            <w:hyperlink r:id="rId94" w:history="1">
              <w:r w:rsidRPr="00503BFF">
                <w:rPr>
                  <w:rStyle w:val="Hyperlink"/>
                  <w:rFonts w:cs="Segoe UI"/>
                  <w:sz w:val="17"/>
                  <w:szCs w:val="17"/>
                  <w:lang w:val="en-GB" w:bidi="ar-SA"/>
                </w:rPr>
                <w:t>https://thenounproject.com/icon/benchmarking-5918899/</w:t>
              </w:r>
            </w:hyperlink>
            <w:r w:rsidRPr="00503BFF">
              <w:rPr>
                <w:rStyle w:val="Hyperlink"/>
                <w:sz w:val="17"/>
                <w:szCs w:val="17"/>
                <w:lang w:val="en-GB"/>
              </w:rPr>
              <w:t xml:space="preserve"> </w:t>
            </w:r>
          </w:p>
          <w:p w14:paraId="1E61158B" w14:textId="77777777" w:rsidR="007E3FAA" w:rsidRPr="0027216C" w:rsidRDefault="007E3FAA">
            <w:pPr>
              <w:pStyle w:val="TD"/>
              <w:widowControl w:val="0"/>
              <w:rPr>
                <w:rFonts w:cs="Segoe UI"/>
                <w:sz w:val="18"/>
                <w:szCs w:val="18"/>
                <w:lang w:val="en-GB" w:bidi="ar-SA"/>
              </w:rPr>
            </w:pPr>
          </w:p>
        </w:tc>
      </w:tr>
    </w:tbl>
    <w:p w14:paraId="26467A8A" w14:textId="0344F75C" w:rsidR="007E3FAA" w:rsidRDefault="00A42038">
      <w:pPr>
        <w:spacing w:before="80"/>
        <w:jc w:val="right"/>
        <w:rPr>
          <w:sz w:val="18"/>
          <w:szCs w:val="18"/>
        </w:rPr>
      </w:pPr>
      <w:r w:rsidRPr="0027216C">
        <w:rPr>
          <w:sz w:val="18"/>
          <w:szCs w:val="18"/>
        </w:rPr>
        <w:t xml:space="preserve">Quelle: </w:t>
      </w:r>
      <w:hyperlink r:id="rId95" w:history="1">
        <w:r w:rsidRPr="0027216C">
          <w:rPr>
            <w:rStyle w:val="Hyperlink"/>
            <w:rFonts w:cs="Segoe UI"/>
            <w:sz w:val="18"/>
            <w:szCs w:val="18"/>
          </w:rPr>
          <w:t>https://thenounproject.com</w:t>
        </w:r>
      </w:hyperlink>
      <w:r w:rsidR="00D74C52">
        <w:rPr>
          <w:sz w:val="18"/>
          <w:szCs w:val="18"/>
        </w:rPr>
        <w:t>;</w:t>
      </w:r>
      <w:r w:rsidRPr="0027216C">
        <w:rPr>
          <w:sz w:val="18"/>
          <w:szCs w:val="18"/>
        </w:rPr>
        <w:t xml:space="preserve"> Darstellung: GÖG</w:t>
      </w:r>
      <w:r w:rsidRPr="0027216C">
        <w:rPr>
          <w:sz w:val="18"/>
          <w:szCs w:val="18"/>
        </w:rPr>
        <w:fldChar w:fldCharType="begin"/>
      </w:r>
      <w:r w:rsidRPr="0027216C">
        <w:rPr>
          <w:sz w:val="18"/>
          <w:szCs w:val="18"/>
        </w:rPr>
        <w:instrText xml:space="preserve"> ADDIN </w:instrText>
      </w:r>
      <w:r w:rsidRPr="0027216C">
        <w:rPr>
          <w:sz w:val="18"/>
          <w:szCs w:val="18"/>
        </w:rPr>
        <w:fldChar w:fldCharType="end"/>
      </w:r>
    </w:p>
    <w:sectPr w:rsidR="007E3FAA" w:rsidSect="00C57312">
      <w:headerReference w:type="even" r:id="rId96"/>
      <w:headerReference w:type="default" r:id="rId97"/>
      <w:footerReference w:type="even" r:id="rId98"/>
      <w:footerReference w:type="default" r:id="rId99"/>
      <w:headerReference w:type="first" r:id="rId100"/>
      <w:pgSz w:w="11907" w:h="16840" w:code="9"/>
      <w:pgMar w:top="1361" w:right="1758" w:bottom="2211" w:left="1758" w:header="709" w:footer="1021" w:gutter="0"/>
      <w:paperSrc w:first="3" w:other="3"/>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A5BD" w14:textId="77777777" w:rsidR="00747021" w:rsidRDefault="00747021">
      <w:pPr>
        <w:spacing w:before="0"/>
      </w:pPr>
      <w:r>
        <w:separator/>
      </w:r>
    </w:p>
    <w:p w14:paraId="68A61CAC" w14:textId="77777777" w:rsidR="00747021" w:rsidRDefault="00747021"/>
  </w:endnote>
  <w:endnote w:type="continuationSeparator" w:id="0">
    <w:p w14:paraId="6982A993" w14:textId="77777777" w:rsidR="00747021" w:rsidRDefault="00747021">
      <w:pPr>
        <w:spacing w:before="0"/>
      </w:pPr>
      <w:r>
        <w:continuationSeparator/>
      </w:r>
    </w:p>
    <w:p w14:paraId="54B05CDE" w14:textId="77777777" w:rsidR="00747021" w:rsidRDefault="00747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9D5E" w14:textId="77777777" w:rsidR="0080391E" w:rsidRDefault="0080391E">
    <w:pPr>
      <w:tabs>
        <w:tab w:val="right" w:pos="8505"/>
      </w:tabs>
      <w:spacing w:before="0" w:line="240" w:lineRule="auto"/>
    </w:pPr>
    <w:r>
      <w:rPr>
        <w:noProof/>
        <w:lang w:eastAsia="de-AT" w:bidi="ar-SA"/>
      </w:rPr>
      <w:drawing>
        <wp:anchor distT="0" distB="0" distL="114300" distR="114300" simplePos="0" relativeHeight="251659264" behindDoc="0" locked="0" layoutInCell="1" allowOverlap="1" wp14:anchorId="3B3D0D03" wp14:editId="3028F8D1">
          <wp:simplePos x="0" y="0"/>
          <wp:positionH relativeFrom="column">
            <wp:posOffset>1477010</wp:posOffset>
          </wp:positionH>
          <wp:positionV relativeFrom="paragraph">
            <wp:posOffset>4003040</wp:posOffset>
          </wp:positionV>
          <wp:extent cx="1631950" cy="506730"/>
          <wp:effectExtent l="19050" t="0" r="6350" b="0"/>
          <wp:wrapNone/>
          <wp:docPr id="313796480" name="Bild 4" descr="biqg_logo_zw_grau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qg_logo_zw_grau3.tif"/>
                  <pic:cNvPicPr>
                    <a:picLocks noChangeAspect="1" noChangeArrowheads="1"/>
                  </pic:cNvPicPr>
                </pic:nvPicPr>
                <pic:blipFill>
                  <a:blip r:embed="rId1"/>
                  <a:srcRect/>
                  <a:stretch>
                    <a:fillRect/>
                  </a:stretch>
                </pic:blipFill>
                <pic:spPr bwMode="auto">
                  <a:xfrm>
                    <a:off x="0" y="0"/>
                    <a:ext cx="1631950" cy="506730"/>
                  </a:xfrm>
                  <a:prstGeom prst="rect">
                    <a:avLst/>
                  </a:prstGeom>
                  <a:noFill/>
                  <a:ln w="9525">
                    <a:noFill/>
                    <a:miter lim="800000"/>
                    <a:headEnd/>
                    <a:tailEnd/>
                  </a:ln>
                </pic:spPr>
              </pic:pic>
            </a:graphicData>
          </a:graphic>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2317694"/>
      <w:docPartObj>
        <w:docPartGallery w:val="Page Numbers (Bottom of Page)"/>
        <w:docPartUnique/>
      </w:docPartObj>
    </w:sdtPr>
    <w:sdtEndPr/>
    <w:sdtContent>
      <w:p w14:paraId="7A815EA6" w14:textId="55D32D2C" w:rsidR="0080391E" w:rsidRDefault="0080391E">
        <w:pPr>
          <w:pStyle w:val="Fuzeile"/>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7C44BB">
          <w:rPr>
            <w:noProof/>
            <w:sz w:val="20"/>
            <w:szCs w:val="20"/>
          </w:rPr>
          <w:t>IV</w:t>
        </w:r>
        <w:r>
          <w:rPr>
            <w:sz w:val="20"/>
            <w:szCs w:val="20"/>
          </w:rPr>
          <w:fldChar w:fldCharType="end"/>
        </w:r>
        <w:r>
          <w:rPr>
            <w:sz w:val="20"/>
            <w:szCs w:val="20"/>
          </w:rPr>
          <w:tab/>
          <w:t xml:space="preserve">QS IV </w:t>
        </w:r>
        <w:r w:rsidR="003B7054">
          <w:rPr>
            <w:sz w:val="20"/>
            <w:szCs w:val="20"/>
          </w:rPr>
          <w:t xml:space="preserve">Chronische </w:t>
        </w:r>
        <w:r>
          <w:rPr>
            <w:sz w:val="20"/>
            <w:szCs w:val="20"/>
          </w:rPr>
          <w:t>Wunden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85735815"/>
      <w:docPartObj>
        <w:docPartGallery w:val="Page Numbers (Bottom of Page)"/>
        <w:docPartUnique/>
      </w:docPartObj>
    </w:sdtPr>
    <w:sdtEndPr/>
    <w:sdtContent>
      <w:p w14:paraId="6A358551" w14:textId="1B94EEF6" w:rsidR="0080391E" w:rsidRDefault="0080391E">
        <w:pPr>
          <w:pStyle w:val="Fuzeile"/>
          <w:rPr>
            <w:sz w:val="20"/>
            <w:szCs w:val="20"/>
          </w:rPr>
        </w:pPr>
        <w:r>
          <w:rPr>
            <w:sz w:val="20"/>
            <w:szCs w:val="20"/>
          </w:rPr>
          <w:t xml:space="preserve">QS IV </w:t>
        </w:r>
        <w:r w:rsidR="00694A07">
          <w:rPr>
            <w:sz w:val="20"/>
            <w:szCs w:val="20"/>
          </w:rPr>
          <w:t>C</w:t>
        </w:r>
        <w:r>
          <w:rPr>
            <w:sz w:val="20"/>
            <w:szCs w:val="20"/>
          </w:rPr>
          <w:t>hronische Wunden</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7C44BB">
          <w:rPr>
            <w:noProof/>
            <w:sz w:val="20"/>
            <w:szCs w:val="20"/>
          </w:rPr>
          <w:t>III</w:t>
        </w:r>
        <w:r>
          <w:rPr>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45CF" w14:textId="3502D39E" w:rsidR="0080391E" w:rsidRDefault="00595E44">
    <w:pPr>
      <w:pStyle w:val="Fuzeile"/>
      <w:rPr>
        <w:sz w:val="20"/>
        <w:szCs w:val="20"/>
      </w:rPr>
    </w:pPr>
    <w:sdt>
      <w:sdtPr>
        <w:rPr>
          <w:sz w:val="20"/>
          <w:szCs w:val="20"/>
        </w:rPr>
        <w:id w:val="-2015765292"/>
        <w:docPartObj>
          <w:docPartGallery w:val="Page Numbers (Bottom of Page)"/>
          <w:docPartUnique/>
        </w:docPartObj>
      </w:sdtPr>
      <w:sdtEndPr/>
      <w:sdtContent>
        <w:r w:rsidR="0080391E">
          <w:rPr>
            <w:sz w:val="20"/>
            <w:szCs w:val="20"/>
          </w:rPr>
          <w:fldChar w:fldCharType="begin"/>
        </w:r>
        <w:r w:rsidR="0080391E">
          <w:rPr>
            <w:sz w:val="20"/>
            <w:szCs w:val="20"/>
          </w:rPr>
          <w:instrText xml:space="preserve"> PAGE   \* MERGEFORMAT </w:instrText>
        </w:r>
        <w:r w:rsidR="0080391E">
          <w:rPr>
            <w:sz w:val="20"/>
            <w:szCs w:val="20"/>
          </w:rPr>
          <w:fldChar w:fldCharType="separate"/>
        </w:r>
        <w:r w:rsidR="007C44BB">
          <w:rPr>
            <w:noProof/>
            <w:sz w:val="20"/>
            <w:szCs w:val="20"/>
          </w:rPr>
          <w:t>VIII</w:t>
        </w:r>
        <w:r w:rsidR="0080391E">
          <w:rPr>
            <w:sz w:val="20"/>
            <w:szCs w:val="20"/>
          </w:rPr>
          <w:fldChar w:fldCharType="end"/>
        </w:r>
        <w:r w:rsidR="0080391E">
          <w:rPr>
            <w:sz w:val="20"/>
            <w:szCs w:val="20"/>
          </w:rPr>
          <w:tab/>
          <w:t xml:space="preserve">QS IV </w:t>
        </w:r>
        <w:r w:rsidR="003B7054">
          <w:rPr>
            <w:sz w:val="20"/>
            <w:szCs w:val="20"/>
          </w:rPr>
          <w:t>C</w:t>
        </w:r>
        <w:r w:rsidR="0080391E">
          <w:rPr>
            <w:sz w:val="20"/>
            <w:szCs w:val="20"/>
          </w:rPr>
          <w:t>hronische Wunden</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59550137"/>
      <w:docPartObj>
        <w:docPartGallery w:val="Page Numbers (Bottom of Page)"/>
        <w:docPartUnique/>
      </w:docPartObj>
    </w:sdtPr>
    <w:sdtEndPr/>
    <w:sdtContent>
      <w:p w14:paraId="3A566236" w14:textId="0BA03FBC" w:rsidR="0080391E" w:rsidRDefault="0080391E">
        <w:pPr>
          <w:pStyle w:val="Fuzeile"/>
          <w:rPr>
            <w:sz w:val="20"/>
            <w:szCs w:val="20"/>
          </w:rPr>
        </w:pPr>
        <w:r>
          <w:rPr>
            <w:sz w:val="20"/>
            <w:szCs w:val="20"/>
          </w:rPr>
          <w:t xml:space="preserve">QS IV </w:t>
        </w:r>
        <w:r w:rsidR="003B7054">
          <w:rPr>
            <w:sz w:val="20"/>
            <w:szCs w:val="20"/>
          </w:rPr>
          <w:t xml:space="preserve">Chronische </w:t>
        </w:r>
        <w:r>
          <w:rPr>
            <w:sz w:val="20"/>
            <w:szCs w:val="20"/>
          </w:rPr>
          <w:t>Wunden</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7C44BB">
          <w:rPr>
            <w:noProof/>
            <w:sz w:val="20"/>
            <w:szCs w:val="20"/>
          </w:rPr>
          <w:t>IX</w:t>
        </w:r>
        <w:r>
          <w:rPr>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1514883878"/>
      <w:docPartObj>
        <w:docPartGallery w:val="Page Numbers (Bottom of Page)"/>
        <w:docPartUnique/>
      </w:docPartObj>
    </w:sdtPr>
    <w:sdtEndPr/>
    <w:sdtContent>
      <w:p w14:paraId="528639C3" w14:textId="72169CD2" w:rsidR="0080391E" w:rsidRDefault="0080391E">
        <w:pPr>
          <w:pStyle w:val="Fuzeile"/>
          <w:rPr>
            <w:szCs w:val="14"/>
          </w:rPr>
        </w:pPr>
        <w:r>
          <w:rPr>
            <w:sz w:val="20"/>
            <w:szCs w:val="20"/>
          </w:rPr>
          <w:fldChar w:fldCharType="begin"/>
        </w:r>
        <w:r>
          <w:rPr>
            <w:sz w:val="20"/>
            <w:szCs w:val="20"/>
          </w:rPr>
          <w:instrText>PAGE   \* MERGEFORMAT</w:instrText>
        </w:r>
        <w:r>
          <w:rPr>
            <w:sz w:val="20"/>
            <w:szCs w:val="20"/>
          </w:rPr>
          <w:fldChar w:fldCharType="separate"/>
        </w:r>
        <w:r w:rsidR="007C44BB">
          <w:rPr>
            <w:noProof/>
            <w:sz w:val="20"/>
            <w:szCs w:val="20"/>
          </w:rPr>
          <w:t>26</w:t>
        </w:r>
        <w:r>
          <w:rPr>
            <w:sz w:val="20"/>
            <w:szCs w:val="20"/>
          </w:rPr>
          <w:fldChar w:fldCharType="end"/>
        </w:r>
        <w:r>
          <w:rPr>
            <w:szCs w:val="14"/>
          </w:rPr>
          <w:tab/>
        </w:r>
        <w:r w:rsidR="000E1B18">
          <w:rPr>
            <w:sz w:val="20"/>
            <w:szCs w:val="20"/>
          </w:rPr>
          <w:t>QS IV</w:t>
        </w:r>
        <w:r>
          <w:rPr>
            <w:sz w:val="20"/>
            <w:szCs w:val="20"/>
          </w:rPr>
          <w:t xml:space="preserve"> </w:t>
        </w:r>
        <w:r w:rsidR="0074583C">
          <w:rPr>
            <w:sz w:val="20"/>
            <w:szCs w:val="20"/>
          </w:rPr>
          <w:t xml:space="preserve">Chronische </w:t>
        </w:r>
        <w:r>
          <w:rPr>
            <w:sz w:val="20"/>
            <w:szCs w:val="20"/>
          </w:rPr>
          <w:t>Wunden</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07362040"/>
      <w:docPartObj>
        <w:docPartGallery w:val="Page Numbers (Bottom of Page)"/>
        <w:docPartUnique/>
      </w:docPartObj>
    </w:sdtPr>
    <w:sdtEndPr/>
    <w:sdtContent>
      <w:p w14:paraId="2689E23C" w14:textId="1AB7AB6F" w:rsidR="0080391E" w:rsidRDefault="000E1B18">
        <w:pPr>
          <w:pStyle w:val="Fuzeile"/>
          <w:rPr>
            <w:sz w:val="20"/>
            <w:szCs w:val="20"/>
          </w:rPr>
        </w:pPr>
        <w:r>
          <w:rPr>
            <w:sz w:val="20"/>
            <w:szCs w:val="20"/>
          </w:rPr>
          <w:t>QS IV</w:t>
        </w:r>
        <w:r w:rsidR="0080391E">
          <w:rPr>
            <w:sz w:val="20"/>
            <w:szCs w:val="20"/>
          </w:rPr>
          <w:t xml:space="preserve"> </w:t>
        </w:r>
        <w:r w:rsidR="003B7054">
          <w:rPr>
            <w:sz w:val="20"/>
            <w:szCs w:val="20"/>
          </w:rPr>
          <w:t>C</w:t>
        </w:r>
        <w:r w:rsidR="0080391E">
          <w:rPr>
            <w:sz w:val="20"/>
            <w:szCs w:val="20"/>
          </w:rPr>
          <w:t>hronische Wunden</w:t>
        </w:r>
        <w:r w:rsidR="0080391E">
          <w:rPr>
            <w:sz w:val="20"/>
            <w:szCs w:val="20"/>
          </w:rPr>
          <w:tab/>
        </w:r>
        <w:r w:rsidR="0080391E">
          <w:rPr>
            <w:sz w:val="20"/>
            <w:szCs w:val="20"/>
          </w:rPr>
          <w:fldChar w:fldCharType="begin"/>
        </w:r>
        <w:r w:rsidR="0080391E">
          <w:rPr>
            <w:sz w:val="20"/>
            <w:szCs w:val="20"/>
          </w:rPr>
          <w:instrText xml:space="preserve"> PAGE   \* MERGEFORMAT </w:instrText>
        </w:r>
        <w:r w:rsidR="0080391E">
          <w:rPr>
            <w:sz w:val="20"/>
            <w:szCs w:val="20"/>
          </w:rPr>
          <w:fldChar w:fldCharType="separate"/>
        </w:r>
        <w:r w:rsidR="007C44BB">
          <w:rPr>
            <w:noProof/>
            <w:sz w:val="20"/>
            <w:szCs w:val="20"/>
          </w:rPr>
          <w:t>25</w:t>
        </w:r>
        <w:r w:rsidR="0080391E">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A97C" w14:textId="77777777" w:rsidR="00747021" w:rsidRDefault="00747021">
      <w:r>
        <w:continuationSeparator/>
      </w:r>
    </w:p>
  </w:footnote>
  <w:footnote w:type="continuationSeparator" w:id="0">
    <w:p w14:paraId="40698690" w14:textId="77777777" w:rsidR="00747021" w:rsidRDefault="00747021">
      <w:pPr>
        <w:spacing w:before="0"/>
      </w:pPr>
      <w:r>
        <w:continuationSeparator/>
      </w:r>
    </w:p>
    <w:p w14:paraId="2B5C0EF7" w14:textId="77777777" w:rsidR="00747021" w:rsidRDefault="00747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CA8E" w14:textId="77777777" w:rsidR="0080391E" w:rsidRDefault="008039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8A60" w14:textId="77777777" w:rsidR="0080391E" w:rsidRDefault="0080391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B1EB" w14:textId="77777777" w:rsidR="0080391E" w:rsidRDefault="0080391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C094" w14:textId="77777777" w:rsidR="0080391E" w:rsidRDefault="008039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038"/>
    <w:multiLevelType w:val="hybridMultilevel"/>
    <w:tmpl w:val="F9721D76"/>
    <w:lvl w:ilvl="0" w:tplc="8BA83112">
      <w:start w:val="1"/>
      <w:numFmt w:val="bullet"/>
      <w:pStyle w:val="Liste1"/>
      <w:lvlText w:val=""/>
      <w:lvlJc w:val="left"/>
      <w:pPr>
        <w:ind w:left="360" w:hanging="360"/>
      </w:pPr>
      <w:rPr>
        <w:rFonts w:ascii="Symbol" w:hAnsi="Symbol" w:hint="default"/>
        <w:b w:val="0"/>
        <w:i w:val="0"/>
        <w:color w:val="32466E"/>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EA5C86"/>
    <w:multiLevelType w:val="hybridMultilevel"/>
    <w:tmpl w:val="861C6B44"/>
    <w:lvl w:ilvl="0" w:tplc="8778A8AE">
      <w:start w:val="1"/>
      <w:numFmt w:val="bullet"/>
      <w:lvlText w:val=""/>
      <w:lvlJc w:val="left"/>
      <w:pPr>
        <w:ind w:left="720" w:hanging="360"/>
      </w:pPr>
      <w:rPr>
        <w:rFonts w:ascii="Symbol" w:hAnsi="Symbol"/>
      </w:rPr>
    </w:lvl>
    <w:lvl w:ilvl="1" w:tplc="867A6C72">
      <w:start w:val="1"/>
      <w:numFmt w:val="bullet"/>
      <w:lvlText w:val=""/>
      <w:lvlJc w:val="left"/>
      <w:pPr>
        <w:ind w:left="720" w:hanging="360"/>
      </w:pPr>
      <w:rPr>
        <w:rFonts w:ascii="Symbol" w:hAnsi="Symbol"/>
      </w:rPr>
    </w:lvl>
    <w:lvl w:ilvl="2" w:tplc="D61A34B6">
      <w:start w:val="1"/>
      <w:numFmt w:val="bullet"/>
      <w:lvlText w:val=""/>
      <w:lvlJc w:val="left"/>
      <w:pPr>
        <w:ind w:left="720" w:hanging="360"/>
      </w:pPr>
      <w:rPr>
        <w:rFonts w:ascii="Symbol" w:hAnsi="Symbol"/>
      </w:rPr>
    </w:lvl>
    <w:lvl w:ilvl="3" w:tplc="9BAEF914">
      <w:start w:val="1"/>
      <w:numFmt w:val="bullet"/>
      <w:lvlText w:val=""/>
      <w:lvlJc w:val="left"/>
      <w:pPr>
        <w:ind w:left="720" w:hanging="360"/>
      </w:pPr>
      <w:rPr>
        <w:rFonts w:ascii="Symbol" w:hAnsi="Symbol"/>
      </w:rPr>
    </w:lvl>
    <w:lvl w:ilvl="4" w:tplc="14AC4D82">
      <w:start w:val="1"/>
      <w:numFmt w:val="bullet"/>
      <w:lvlText w:val=""/>
      <w:lvlJc w:val="left"/>
      <w:pPr>
        <w:ind w:left="720" w:hanging="360"/>
      </w:pPr>
      <w:rPr>
        <w:rFonts w:ascii="Symbol" w:hAnsi="Symbol"/>
      </w:rPr>
    </w:lvl>
    <w:lvl w:ilvl="5" w:tplc="F384D85A">
      <w:start w:val="1"/>
      <w:numFmt w:val="bullet"/>
      <w:lvlText w:val=""/>
      <w:lvlJc w:val="left"/>
      <w:pPr>
        <w:ind w:left="720" w:hanging="360"/>
      </w:pPr>
      <w:rPr>
        <w:rFonts w:ascii="Symbol" w:hAnsi="Symbol"/>
      </w:rPr>
    </w:lvl>
    <w:lvl w:ilvl="6" w:tplc="A1B66E02">
      <w:start w:val="1"/>
      <w:numFmt w:val="bullet"/>
      <w:lvlText w:val=""/>
      <w:lvlJc w:val="left"/>
      <w:pPr>
        <w:ind w:left="720" w:hanging="360"/>
      </w:pPr>
      <w:rPr>
        <w:rFonts w:ascii="Symbol" w:hAnsi="Symbol"/>
      </w:rPr>
    </w:lvl>
    <w:lvl w:ilvl="7" w:tplc="A7B67FC2">
      <w:start w:val="1"/>
      <w:numFmt w:val="bullet"/>
      <w:lvlText w:val=""/>
      <w:lvlJc w:val="left"/>
      <w:pPr>
        <w:ind w:left="720" w:hanging="360"/>
      </w:pPr>
      <w:rPr>
        <w:rFonts w:ascii="Symbol" w:hAnsi="Symbol"/>
      </w:rPr>
    </w:lvl>
    <w:lvl w:ilvl="8" w:tplc="BBFC5024">
      <w:start w:val="1"/>
      <w:numFmt w:val="bullet"/>
      <w:lvlText w:val=""/>
      <w:lvlJc w:val="left"/>
      <w:pPr>
        <w:ind w:left="720" w:hanging="360"/>
      </w:pPr>
      <w:rPr>
        <w:rFonts w:ascii="Symbol" w:hAnsi="Symbol"/>
      </w:rPr>
    </w:lvl>
  </w:abstractNum>
  <w:abstractNum w:abstractNumId="2" w15:restartNumberingAfterBreak="0">
    <w:nsid w:val="19724EFF"/>
    <w:multiLevelType w:val="hybridMultilevel"/>
    <w:tmpl w:val="97DA2052"/>
    <w:lvl w:ilvl="0" w:tplc="53FEBBD4">
      <w:start w:val="1"/>
      <w:numFmt w:val="bullet"/>
      <w:lvlText w:val=""/>
      <w:lvlJc w:val="left"/>
      <w:pPr>
        <w:ind w:left="1000" w:hanging="360"/>
      </w:pPr>
      <w:rPr>
        <w:rFonts w:ascii="Symbol" w:hAnsi="Symbol"/>
      </w:rPr>
    </w:lvl>
    <w:lvl w:ilvl="1" w:tplc="4EA0DEF8">
      <w:start w:val="1"/>
      <w:numFmt w:val="bullet"/>
      <w:lvlText w:val=""/>
      <w:lvlJc w:val="left"/>
      <w:pPr>
        <w:ind w:left="1000" w:hanging="360"/>
      </w:pPr>
      <w:rPr>
        <w:rFonts w:ascii="Symbol" w:hAnsi="Symbol"/>
      </w:rPr>
    </w:lvl>
    <w:lvl w:ilvl="2" w:tplc="7E0062AA">
      <w:start w:val="1"/>
      <w:numFmt w:val="bullet"/>
      <w:lvlText w:val=""/>
      <w:lvlJc w:val="left"/>
      <w:pPr>
        <w:ind w:left="1000" w:hanging="360"/>
      </w:pPr>
      <w:rPr>
        <w:rFonts w:ascii="Symbol" w:hAnsi="Symbol"/>
      </w:rPr>
    </w:lvl>
    <w:lvl w:ilvl="3" w:tplc="86B2D41A">
      <w:start w:val="1"/>
      <w:numFmt w:val="bullet"/>
      <w:lvlText w:val=""/>
      <w:lvlJc w:val="left"/>
      <w:pPr>
        <w:ind w:left="1000" w:hanging="360"/>
      </w:pPr>
      <w:rPr>
        <w:rFonts w:ascii="Symbol" w:hAnsi="Symbol"/>
      </w:rPr>
    </w:lvl>
    <w:lvl w:ilvl="4" w:tplc="64661CD4">
      <w:start w:val="1"/>
      <w:numFmt w:val="bullet"/>
      <w:lvlText w:val=""/>
      <w:lvlJc w:val="left"/>
      <w:pPr>
        <w:ind w:left="1000" w:hanging="360"/>
      </w:pPr>
      <w:rPr>
        <w:rFonts w:ascii="Symbol" w:hAnsi="Symbol"/>
      </w:rPr>
    </w:lvl>
    <w:lvl w:ilvl="5" w:tplc="57BE6784">
      <w:start w:val="1"/>
      <w:numFmt w:val="bullet"/>
      <w:lvlText w:val=""/>
      <w:lvlJc w:val="left"/>
      <w:pPr>
        <w:ind w:left="1000" w:hanging="360"/>
      </w:pPr>
      <w:rPr>
        <w:rFonts w:ascii="Symbol" w:hAnsi="Symbol"/>
      </w:rPr>
    </w:lvl>
    <w:lvl w:ilvl="6" w:tplc="B45E2158">
      <w:start w:val="1"/>
      <w:numFmt w:val="bullet"/>
      <w:lvlText w:val=""/>
      <w:lvlJc w:val="left"/>
      <w:pPr>
        <w:ind w:left="1000" w:hanging="360"/>
      </w:pPr>
      <w:rPr>
        <w:rFonts w:ascii="Symbol" w:hAnsi="Symbol"/>
      </w:rPr>
    </w:lvl>
    <w:lvl w:ilvl="7" w:tplc="A43052FA">
      <w:start w:val="1"/>
      <w:numFmt w:val="bullet"/>
      <w:lvlText w:val=""/>
      <w:lvlJc w:val="left"/>
      <w:pPr>
        <w:ind w:left="1000" w:hanging="360"/>
      </w:pPr>
      <w:rPr>
        <w:rFonts w:ascii="Symbol" w:hAnsi="Symbol"/>
      </w:rPr>
    </w:lvl>
    <w:lvl w:ilvl="8" w:tplc="A4F03372">
      <w:start w:val="1"/>
      <w:numFmt w:val="bullet"/>
      <w:lvlText w:val=""/>
      <w:lvlJc w:val="left"/>
      <w:pPr>
        <w:ind w:left="1000" w:hanging="360"/>
      </w:pPr>
      <w:rPr>
        <w:rFonts w:ascii="Symbol" w:hAnsi="Symbol"/>
      </w:rPr>
    </w:lvl>
  </w:abstractNum>
  <w:abstractNum w:abstractNumId="3" w15:restartNumberingAfterBreak="0">
    <w:nsid w:val="1E48731C"/>
    <w:multiLevelType w:val="hybridMultilevel"/>
    <w:tmpl w:val="BA68D124"/>
    <w:lvl w:ilvl="0" w:tplc="7D6C11B4">
      <w:start w:val="1"/>
      <w:numFmt w:val="bullet"/>
      <w:pStyle w:val="Liste2"/>
      <w:lvlText w:val=""/>
      <w:lvlJc w:val="left"/>
      <w:pPr>
        <w:ind w:left="1004" w:hanging="360"/>
      </w:pPr>
      <w:rPr>
        <w:rFonts w:ascii="Symbol" w:hAnsi="Symbol" w:hint="default"/>
        <w:b w:val="0"/>
        <w:i w:val="0"/>
        <w:color w:val="32466E"/>
        <w:sz w:val="18"/>
        <w:u w:color="32466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25D056EA"/>
    <w:multiLevelType w:val="multilevel"/>
    <w:tmpl w:val="5006703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26EF6B76"/>
    <w:multiLevelType w:val="hybridMultilevel"/>
    <w:tmpl w:val="A364A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E70E7B"/>
    <w:multiLevelType w:val="multilevel"/>
    <w:tmpl w:val="EEEC701E"/>
    <w:lvl w:ilvl="0">
      <w:start w:val="1"/>
      <w:numFmt w:val="bullet"/>
      <w:pStyle w:val="TDListe1"/>
      <w:lvlText w:val=""/>
      <w:lvlJc w:val="left"/>
      <w:pPr>
        <w:ind w:left="417" w:hanging="360"/>
      </w:pPr>
      <w:rPr>
        <w:rFonts w:ascii="Symbol" w:hAnsi="Symbol" w:hint="default"/>
        <w:u w:color="32466E"/>
      </w:rPr>
    </w:lvl>
    <w:lvl w:ilvl="1">
      <w:start w:val="1"/>
      <w:numFmt w:val="bullet"/>
      <w:pStyle w:val="TDListe2"/>
      <w:lvlText w:val="»"/>
      <w:lvlJc w:val="left"/>
      <w:pPr>
        <w:ind w:left="425" w:hanging="170"/>
      </w:pPr>
      <w:rPr>
        <w:rFonts w:ascii="Lucida Sans Unicode" w:hAnsi="Lucida Sans Unicode" w:hint="default"/>
      </w:rPr>
    </w:lvl>
    <w:lvl w:ilvl="2">
      <w:start w:val="1"/>
      <w:numFmt w:val="bullet"/>
      <w:pStyle w:val="TDListe3"/>
      <w:lvlText w:val="»"/>
      <w:lvlJc w:val="left"/>
      <w:pPr>
        <w:ind w:left="584" w:hanging="170"/>
      </w:pPr>
      <w:rPr>
        <w:rFonts w:ascii="Lucida Sans Unicode" w:hAnsi="Lucida Sans Unicode"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22367DB"/>
    <w:multiLevelType w:val="hybridMultilevel"/>
    <w:tmpl w:val="05E0A75A"/>
    <w:lvl w:ilvl="0" w:tplc="B2B45952">
      <w:start w:val="1"/>
      <w:numFmt w:val="decimal"/>
      <w:pStyle w:val="Listennummer1"/>
      <w:lvlText w:val="%1."/>
      <w:lvlJc w:val="left"/>
      <w:pPr>
        <w:ind w:left="360" w:hanging="360"/>
      </w:pPr>
      <w:rPr>
        <w:rFonts w:ascii="Lucida Sans Unicode" w:hAnsi="Lucida Sans Unicode" w:hint="default"/>
        <w:b w:val="0"/>
        <w:i w:val="0"/>
        <w:caps w:val="0"/>
        <w:strike w:val="0"/>
        <w:dstrike w:val="0"/>
        <w:vanish w:val="0"/>
        <w:color w:val="auto"/>
        <w:sz w:val="18"/>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BA1F04"/>
    <w:multiLevelType w:val="hybridMultilevel"/>
    <w:tmpl w:val="1110E7BA"/>
    <w:lvl w:ilvl="0" w:tplc="3FE4599E">
      <w:start w:val="1"/>
      <w:numFmt w:val="bullet"/>
      <w:pStyle w:val="Liste4"/>
      <w:lvlText w:val=""/>
      <w:lvlJc w:val="left"/>
      <w:pPr>
        <w:ind w:left="1494" w:hanging="360"/>
      </w:pPr>
      <w:rPr>
        <w:rFonts w:ascii="Symbol" w:hAnsi="Symbol" w:hint="default"/>
        <w:b w:val="0"/>
        <w:i w:val="0"/>
        <w:color w:val="32466E"/>
        <w:sz w:val="18"/>
        <w:u w:color="32466E"/>
      </w:rPr>
    </w:lvl>
    <w:lvl w:ilvl="1" w:tplc="0C070003" w:tentative="1">
      <w:start w:val="1"/>
      <w:numFmt w:val="bullet"/>
      <w:lvlText w:val="o"/>
      <w:lvlJc w:val="left"/>
      <w:pPr>
        <w:ind w:left="2512" w:hanging="360"/>
      </w:pPr>
      <w:rPr>
        <w:rFonts w:ascii="Courier New" w:hAnsi="Courier New" w:cs="Courier New" w:hint="default"/>
      </w:rPr>
    </w:lvl>
    <w:lvl w:ilvl="2" w:tplc="0C070005" w:tentative="1">
      <w:start w:val="1"/>
      <w:numFmt w:val="bullet"/>
      <w:lvlText w:val=""/>
      <w:lvlJc w:val="left"/>
      <w:pPr>
        <w:ind w:left="3232" w:hanging="360"/>
      </w:pPr>
      <w:rPr>
        <w:rFonts w:ascii="Wingdings" w:hAnsi="Wingdings" w:hint="default"/>
      </w:rPr>
    </w:lvl>
    <w:lvl w:ilvl="3" w:tplc="0C070001" w:tentative="1">
      <w:start w:val="1"/>
      <w:numFmt w:val="bullet"/>
      <w:lvlText w:val=""/>
      <w:lvlJc w:val="left"/>
      <w:pPr>
        <w:ind w:left="3952" w:hanging="360"/>
      </w:pPr>
      <w:rPr>
        <w:rFonts w:ascii="Symbol" w:hAnsi="Symbol" w:hint="default"/>
      </w:rPr>
    </w:lvl>
    <w:lvl w:ilvl="4" w:tplc="0C070003" w:tentative="1">
      <w:start w:val="1"/>
      <w:numFmt w:val="bullet"/>
      <w:lvlText w:val="o"/>
      <w:lvlJc w:val="left"/>
      <w:pPr>
        <w:ind w:left="4672" w:hanging="360"/>
      </w:pPr>
      <w:rPr>
        <w:rFonts w:ascii="Courier New" w:hAnsi="Courier New" w:cs="Courier New" w:hint="default"/>
      </w:rPr>
    </w:lvl>
    <w:lvl w:ilvl="5" w:tplc="0C070005" w:tentative="1">
      <w:start w:val="1"/>
      <w:numFmt w:val="bullet"/>
      <w:lvlText w:val=""/>
      <w:lvlJc w:val="left"/>
      <w:pPr>
        <w:ind w:left="5392" w:hanging="360"/>
      </w:pPr>
      <w:rPr>
        <w:rFonts w:ascii="Wingdings" w:hAnsi="Wingdings" w:hint="default"/>
      </w:rPr>
    </w:lvl>
    <w:lvl w:ilvl="6" w:tplc="0C070001" w:tentative="1">
      <w:start w:val="1"/>
      <w:numFmt w:val="bullet"/>
      <w:lvlText w:val=""/>
      <w:lvlJc w:val="left"/>
      <w:pPr>
        <w:ind w:left="6112" w:hanging="360"/>
      </w:pPr>
      <w:rPr>
        <w:rFonts w:ascii="Symbol" w:hAnsi="Symbol" w:hint="default"/>
      </w:rPr>
    </w:lvl>
    <w:lvl w:ilvl="7" w:tplc="0C070003" w:tentative="1">
      <w:start w:val="1"/>
      <w:numFmt w:val="bullet"/>
      <w:lvlText w:val="o"/>
      <w:lvlJc w:val="left"/>
      <w:pPr>
        <w:ind w:left="6832" w:hanging="360"/>
      </w:pPr>
      <w:rPr>
        <w:rFonts w:ascii="Courier New" w:hAnsi="Courier New" w:cs="Courier New" w:hint="default"/>
      </w:rPr>
    </w:lvl>
    <w:lvl w:ilvl="8" w:tplc="0C070005" w:tentative="1">
      <w:start w:val="1"/>
      <w:numFmt w:val="bullet"/>
      <w:lvlText w:val=""/>
      <w:lvlJc w:val="left"/>
      <w:pPr>
        <w:ind w:left="7552" w:hanging="360"/>
      </w:pPr>
      <w:rPr>
        <w:rFonts w:ascii="Wingdings" w:hAnsi="Wingdings" w:hint="default"/>
      </w:rPr>
    </w:lvl>
  </w:abstractNum>
  <w:abstractNum w:abstractNumId="9" w15:restartNumberingAfterBreak="0">
    <w:nsid w:val="57B048F0"/>
    <w:multiLevelType w:val="hybridMultilevel"/>
    <w:tmpl w:val="8A1013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7929DA"/>
    <w:multiLevelType w:val="hybridMultilevel"/>
    <w:tmpl w:val="0ED438F6"/>
    <w:lvl w:ilvl="0" w:tplc="6F3826B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3B11D4"/>
    <w:multiLevelType w:val="hybridMultilevel"/>
    <w:tmpl w:val="547ED7C6"/>
    <w:lvl w:ilvl="0" w:tplc="692C458A">
      <w:start w:val="1"/>
      <w:numFmt w:val="bullet"/>
      <w:pStyle w:val="Liste3"/>
      <w:lvlText w:val=""/>
      <w:lvlJc w:val="left"/>
      <w:pPr>
        <w:ind w:left="1434" w:hanging="360"/>
      </w:pPr>
      <w:rPr>
        <w:rFonts w:ascii="Symbol" w:hAnsi="Symbol" w:hint="default"/>
        <w:b w:val="0"/>
        <w:i w:val="0"/>
        <w:color w:val="323C6E"/>
        <w:sz w:val="18"/>
        <w:u w:color="32466E"/>
      </w:rPr>
    </w:lvl>
    <w:lvl w:ilvl="1" w:tplc="0C070003" w:tentative="1">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abstractNum w:abstractNumId="12" w15:restartNumberingAfterBreak="0">
    <w:nsid w:val="669F2542"/>
    <w:multiLevelType w:val="hybridMultilevel"/>
    <w:tmpl w:val="262235D6"/>
    <w:lvl w:ilvl="0" w:tplc="E02EEC7A">
      <w:start w:val="1"/>
      <w:numFmt w:val="lowerLetter"/>
      <w:pStyle w:val="Listennummera"/>
      <w:lvlText w:val="%1)"/>
      <w:lvlJc w:val="left"/>
      <w:pPr>
        <w:ind w:left="1174" w:hanging="360"/>
      </w:pPr>
      <w:rPr>
        <w:rFonts w:ascii="Lucida Sans Unicode" w:hAnsi="Lucida Sans Unicode" w:hint="default"/>
        <w:b w:val="0"/>
        <w:i w:val="0"/>
        <w:caps w:val="0"/>
        <w:strike w:val="0"/>
        <w:dstrike w:val="0"/>
        <w:vanish w:val="0"/>
        <w:color w:val="auto"/>
        <w:sz w:val="18"/>
        <w:vertAlign w:val="baseline"/>
      </w:rPr>
    </w:lvl>
    <w:lvl w:ilvl="1" w:tplc="0C070019" w:tentative="1">
      <w:start w:val="1"/>
      <w:numFmt w:val="lowerLetter"/>
      <w:lvlText w:val="%2."/>
      <w:lvlJc w:val="left"/>
      <w:pPr>
        <w:ind w:left="1894" w:hanging="360"/>
      </w:pPr>
    </w:lvl>
    <w:lvl w:ilvl="2" w:tplc="0C07001B" w:tentative="1">
      <w:start w:val="1"/>
      <w:numFmt w:val="lowerRoman"/>
      <w:lvlText w:val="%3."/>
      <w:lvlJc w:val="right"/>
      <w:pPr>
        <w:ind w:left="2614" w:hanging="180"/>
      </w:pPr>
    </w:lvl>
    <w:lvl w:ilvl="3" w:tplc="0C07000F" w:tentative="1">
      <w:start w:val="1"/>
      <w:numFmt w:val="decimal"/>
      <w:lvlText w:val="%4."/>
      <w:lvlJc w:val="left"/>
      <w:pPr>
        <w:ind w:left="3334" w:hanging="360"/>
      </w:pPr>
    </w:lvl>
    <w:lvl w:ilvl="4" w:tplc="0C070019" w:tentative="1">
      <w:start w:val="1"/>
      <w:numFmt w:val="lowerLetter"/>
      <w:lvlText w:val="%5."/>
      <w:lvlJc w:val="left"/>
      <w:pPr>
        <w:ind w:left="4054" w:hanging="360"/>
      </w:pPr>
    </w:lvl>
    <w:lvl w:ilvl="5" w:tplc="0C07001B" w:tentative="1">
      <w:start w:val="1"/>
      <w:numFmt w:val="lowerRoman"/>
      <w:lvlText w:val="%6."/>
      <w:lvlJc w:val="right"/>
      <w:pPr>
        <w:ind w:left="4774" w:hanging="180"/>
      </w:pPr>
    </w:lvl>
    <w:lvl w:ilvl="6" w:tplc="0C07000F" w:tentative="1">
      <w:start w:val="1"/>
      <w:numFmt w:val="decimal"/>
      <w:lvlText w:val="%7."/>
      <w:lvlJc w:val="left"/>
      <w:pPr>
        <w:ind w:left="5494" w:hanging="360"/>
      </w:pPr>
    </w:lvl>
    <w:lvl w:ilvl="7" w:tplc="0C070019" w:tentative="1">
      <w:start w:val="1"/>
      <w:numFmt w:val="lowerLetter"/>
      <w:lvlText w:val="%8."/>
      <w:lvlJc w:val="left"/>
      <w:pPr>
        <w:ind w:left="6214" w:hanging="360"/>
      </w:pPr>
    </w:lvl>
    <w:lvl w:ilvl="8" w:tplc="0C07001B" w:tentative="1">
      <w:start w:val="1"/>
      <w:numFmt w:val="lowerRoman"/>
      <w:lvlText w:val="%9."/>
      <w:lvlJc w:val="right"/>
      <w:pPr>
        <w:ind w:left="6934" w:hanging="180"/>
      </w:pPr>
    </w:lvl>
  </w:abstractNum>
  <w:abstractNum w:abstractNumId="13" w15:restartNumberingAfterBreak="0">
    <w:nsid w:val="6AE050D1"/>
    <w:multiLevelType w:val="hybridMultilevel"/>
    <w:tmpl w:val="3A5C419C"/>
    <w:lvl w:ilvl="0" w:tplc="546E82EE">
      <w:start w:val="1"/>
      <w:numFmt w:val="bullet"/>
      <w:lvlText w:val=""/>
      <w:lvlJc w:val="left"/>
      <w:pPr>
        <w:ind w:left="720" w:hanging="360"/>
      </w:pPr>
      <w:rPr>
        <w:rFonts w:ascii="Symbol" w:hAnsi="Symbol"/>
      </w:rPr>
    </w:lvl>
    <w:lvl w:ilvl="1" w:tplc="6538AA9A">
      <w:start w:val="1"/>
      <w:numFmt w:val="bullet"/>
      <w:lvlText w:val=""/>
      <w:lvlJc w:val="left"/>
      <w:pPr>
        <w:ind w:left="720" w:hanging="360"/>
      </w:pPr>
      <w:rPr>
        <w:rFonts w:ascii="Symbol" w:hAnsi="Symbol"/>
      </w:rPr>
    </w:lvl>
    <w:lvl w:ilvl="2" w:tplc="7474F704">
      <w:start w:val="1"/>
      <w:numFmt w:val="bullet"/>
      <w:lvlText w:val=""/>
      <w:lvlJc w:val="left"/>
      <w:pPr>
        <w:ind w:left="720" w:hanging="360"/>
      </w:pPr>
      <w:rPr>
        <w:rFonts w:ascii="Symbol" w:hAnsi="Symbol"/>
      </w:rPr>
    </w:lvl>
    <w:lvl w:ilvl="3" w:tplc="F14A4E20">
      <w:start w:val="1"/>
      <w:numFmt w:val="bullet"/>
      <w:lvlText w:val=""/>
      <w:lvlJc w:val="left"/>
      <w:pPr>
        <w:ind w:left="720" w:hanging="360"/>
      </w:pPr>
      <w:rPr>
        <w:rFonts w:ascii="Symbol" w:hAnsi="Symbol"/>
      </w:rPr>
    </w:lvl>
    <w:lvl w:ilvl="4" w:tplc="B0DEDADC">
      <w:start w:val="1"/>
      <w:numFmt w:val="bullet"/>
      <w:lvlText w:val=""/>
      <w:lvlJc w:val="left"/>
      <w:pPr>
        <w:ind w:left="720" w:hanging="360"/>
      </w:pPr>
      <w:rPr>
        <w:rFonts w:ascii="Symbol" w:hAnsi="Symbol"/>
      </w:rPr>
    </w:lvl>
    <w:lvl w:ilvl="5" w:tplc="D1E27F4C">
      <w:start w:val="1"/>
      <w:numFmt w:val="bullet"/>
      <w:lvlText w:val=""/>
      <w:lvlJc w:val="left"/>
      <w:pPr>
        <w:ind w:left="720" w:hanging="360"/>
      </w:pPr>
      <w:rPr>
        <w:rFonts w:ascii="Symbol" w:hAnsi="Symbol"/>
      </w:rPr>
    </w:lvl>
    <w:lvl w:ilvl="6" w:tplc="FF82DE16">
      <w:start w:val="1"/>
      <w:numFmt w:val="bullet"/>
      <w:lvlText w:val=""/>
      <w:lvlJc w:val="left"/>
      <w:pPr>
        <w:ind w:left="720" w:hanging="360"/>
      </w:pPr>
      <w:rPr>
        <w:rFonts w:ascii="Symbol" w:hAnsi="Symbol"/>
      </w:rPr>
    </w:lvl>
    <w:lvl w:ilvl="7" w:tplc="7EB20406">
      <w:start w:val="1"/>
      <w:numFmt w:val="bullet"/>
      <w:lvlText w:val=""/>
      <w:lvlJc w:val="left"/>
      <w:pPr>
        <w:ind w:left="720" w:hanging="360"/>
      </w:pPr>
      <w:rPr>
        <w:rFonts w:ascii="Symbol" w:hAnsi="Symbol"/>
      </w:rPr>
    </w:lvl>
    <w:lvl w:ilvl="8" w:tplc="AF200CFE">
      <w:start w:val="1"/>
      <w:numFmt w:val="bullet"/>
      <w:lvlText w:val=""/>
      <w:lvlJc w:val="left"/>
      <w:pPr>
        <w:ind w:left="720" w:hanging="360"/>
      </w:pPr>
      <w:rPr>
        <w:rFonts w:ascii="Symbol" w:hAnsi="Symbol"/>
      </w:rPr>
    </w:lvl>
  </w:abstractNum>
  <w:abstractNum w:abstractNumId="14" w15:restartNumberingAfterBreak="0">
    <w:nsid w:val="7BD43F46"/>
    <w:multiLevelType w:val="hybridMultilevel"/>
    <w:tmpl w:val="40CA1688"/>
    <w:lvl w:ilvl="0" w:tplc="C390FDA6">
      <w:start w:val="1"/>
      <w:numFmt w:val="bullet"/>
      <w:lvlText w:val=""/>
      <w:lvlJc w:val="left"/>
      <w:pPr>
        <w:ind w:left="360" w:hanging="360"/>
      </w:pPr>
      <w:rPr>
        <w:rFonts w:ascii="Symbol" w:hAnsi="Symbol" w:hint="default"/>
        <w:b w:val="0"/>
        <w:i w:val="0"/>
        <w:color w:val="auto"/>
        <w:sz w:val="18"/>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3E753A"/>
    <w:multiLevelType w:val="hybridMultilevel"/>
    <w:tmpl w:val="2D2C8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4500096">
    <w:abstractNumId w:val="14"/>
  </w:num>
  <w:num w:numId="2" w16cid:durableId="356153406">
    <w:abstractNumId w:val="11"/>
  </w:num>
  <w:num w:numId="3" w16cid:durableId="2134277567">
    <w:abstractNumId w:val="8"/>
  </w:num>
  <w:num w:numId="4" w16cid:durableId="36781273">
    <w:abstractNumId w:val="12"/>
  </w:num>
  <w:num w:numId="5" w16cid:durableId="236746095">
    <w:abstractNumId w:val="7"/>
  </w:num>
  <w:num w:numId="6" w16cid:durableId="1887451781">
    <w:abstractNumId w:val="4"/>
  </w:num>
  <w:num w:numId="7" w16cid:durableId="1404789215">
    <w:abstractNumId w:val="6"/>
  </w:num>
  <w:num w:numId="8" w16cid:durableId="258370121">
    <w:abstractNumId w:val="0"/>
  </w:num>
  <w:num w:numId="9" w16cid:durableId="490677085">
    <w:abstractNumId w:val="3"/>
  </w:num>
  <w:num w:numId="10" w16cid:durableId="2108653320">
    <w:abstractNumId w:val="9"/>
  </w:num>
  <w:num w:numId="11" w16cid:durableId="1882863290">
    <w:abstractNumId w:val="15"/>
  </w:num>
  <w:num w:numId="12" w16cid:durableId="138041742">
    <w:abstractNumId w:val="2"/>
  </w:num>
  <w:num w:numId="13" w16cid:durableId="1557007011">
    <w:abstractNumId w:val="13"/>
  </w:num>
  <w:num w:numId="14" w16cid:durableId="1305351670">
    <w:abstractNumId w:val="5"/>
  </w:num>
  <w:num w:numId="15" w16cid:durableId="1009988362">
    <w:abstractNumId w:val="10"/>
  </w:num>
  <w:num w:numId="16" w16cid:durableId="71004222">
    <w:abstractNumId w:val="1"/>
  </w:num>
  <w:num w:numId="17" w16cid:durableId="1533762685">
    <w:abstractNumId w:val="0"/>
  </w:num>
  <w:num w:numId="18" w16cid:durableId="120941353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activeWritingStyle w:appName="MSWord" w:lang="de-AT" w:vendorID="9" w:dllVersion="512" w:checkStyle="1"/>
  <w:activeWritingStyle w:appName="MSWord" w:lang="de-DE" w:vendorID="9" w:dllVersion="512" w:checkStyle="1"/>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formatting="1" w:enforcement="0"/>
  <w:defaultTabStop w:val="357"/>
  <w:autoHyphenation/>
  <w:hyphenationZone w:val="851"/>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ÖG&lt;/Style&gt;&lt;LeftDelim&gt;{&lt;/LeftDelim&gt;&lt;RightDelim&gt;}&lt;/RightDelim&gt;&lt;FontName&gt;Lucida Sans Unicode&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f0ztwarrp2dt7er5sw5a09z5stpprv50s2r&quot;&gt;GÖG-Literaturdatenbank&lt;record-ids&gt;&lt;item&gt;28006&lt;/item&gt;&lt;/record-ids&gt;&lt;/item&gt;&lt;/Libraries&gt;"/>
  </w:docVars>
  <w:rsids>
    <w:rsidRoot w:val="007E3FAA"/>
    <w:rsid w:val="00001003"/>
    <w:rsid w:val="00002775"/>
    <w:rsid w:val="00007450"/>
    <w:rsid w:val="000074C7"/>
    <w:rsid w:val="000075B0"/>
    <w:rsid w:val="00015C05"/>
    <w:rsid w:val="0001786E"/>
    <w:rsid w:val="0002004F"/>
    <w:rsid w:val="00021885"/>
    <w:rsid w:val="00022CA2"/>
    <w:rsid w:val="000238DD"/>
    <w:rsid w:val="00026302"/>
    <w:rsid w:val="000273C1"/>
    <w:rsid w:val="0003040F"/>
    <w:rsid w:val="00031B4C"/>
    <w:rsid w:val="00031B58"/>
    <w:rsid w:val="00036BDE"/>
    <w:rsid w:val="000370A2"/>
    <w:rsid w:val="000379AD"/>
    <w:rsid w:val="000441E3"/>
    <w:rsid w:val="00045FF4"/>
    <w:rsid w:val="00046622"/>
    <w:rsid w:val="0004677C"/>
    <w:rsid w:val="0004741B"/>
    <w:rsid w:val="0004778F"/>
    <w:rsid w:val="00050224"/>
    <w:rsid w:val="00051911"/>
    <w:rsid w:val="0005284C"/>
    <w:rsid w:val="00053344"/>
    <w:rsid w:val="000533F4"/>
    <w:rsid w:val="0005446C"/>
    <w:rsid w:val="00054B24"/>
    <w:rsid w:val="00054BC0"/>
    <w:rsid w:val="00054DBB"/>
    <w:rsid w:val="000560A1"/>
    <w:rsid w:val="00057296"/>
    <w:rsid w:val="00060083"/>
    <w:rsid w:val="00060195"/>
    <w:rsid w:val="00062395"/>
    <w:rsid w:val="00062C3E"/>
    <w:rsid w:val="000637AF"/>
    <w:rsid w:val="0006410A"/>
    <w:rsid w:val="000671A7"/>
    <w:rsid w:val="00071B5C"/>
    <w:rsid w:val="00077994"/>
    <w:rsid w:val="00077CAA"/>
    <w:rsid w:val="00080410"/>
    <w:rsid w:val="00080B0C"/>
    <w:rsid w:val="00080E7D"/>
    <w:rsid w:val="00082750"/>
    <w:rsid w:val="00083003"/>
    <w:rsid w:val="00083879"/>
    <w:rsid w:val="00084E27"/>
    <w:rsid w:val="00084E73"/>
    <w:rsid w:val="00085CD5"/>
    <w:rsid w:val="000868DC"/>
    <w:rsid w:val="00087E7F"/>
    <w:rsid w:val="00087EF3"/>
    <w:rsid w:val="0009492A"/>
    <w:rsid w:val="000A1B89"/>
    <w:rsid w:val="000B17B1"/>
    <w:rsid w:val="000B1B7C"/>
    <w:rsid w:val="000B4D8D"/>
    <w:rsid w:val="000C0DB7"/>
    <w:rsid w:val="000C3511"/>
    <w:rsid w:val="000C4B03"/>
    <w:rsid w:val="000C5B01"/>
    <w:rsid w:val="000C6F20"/>
    <w:rsid w:val="000D0B2E"/>
    <w:rsid w:val="000D290F"/>
    <w:rsid w:val="000D326B"/>
    <w:rsid w:val="000E1B18"/>
    <w:rsid w:val="000E32CC"/>
    <w:rsid w:val="000E7567"/>
    <w:rsid w:val="000F03C0"/>
    <w:rsid w:val="000F0DDD"/>
    <w:rsid w:val="000F2DD6"/>
    <w:rsid w:val="000F393F"/>
    <w:rsid w:val="000F476E"/>
    <w:rsid w:val="00102381"/>
    <w:rsid w:val="00106001"/>
    <w:rsid w:val="0010617F"/>
    <w:rsid w:val="00110F1B"/>
    <w:rsid w:val="001121B2"/>
    <w:rsid w:val="0011250F"/>
    <w:rsid w:val="001138FD"/>
    <w:rsid w:val="0011792E"/>
    <w:rsid w:val="00120CC9"/>
    <w:rsid w:val="0012198A"/>
    <w:rsid w:val="00122392"/>
    <w:rsid w:val="00124D18"/>
    <w:rsid w:val="001258DF"/>
    <w:rsid w:val="00136799"/>
    <w:rsid w:val="00137E59"/>
    <w:rsid w:val="0014210F"/>
    <w:rsid w:val="00142FFA"/>
    <w:rsid w:val="00150DC2"/>
    <w:rsid w:val="00151393"/>
    <w:rsid w:val="001515CA"/>
    <w:rsid w:val="00153C32"/>
    <w:rsid w:val="00157E43"/>
    <w:rsid w:val="0016006E"/>
    <w:rsid w:val="00163AF2"/>
    <w:rsid w:val="00166F2C"/>
    <w:rsid w:val="0016708F"/>
    <w:rsid w:val="00167D46"/>
    <w:rsid w:val="001708D4"/>
    <w:rsid w:val="00177C92"/>
    <w:rsid w:val="001805E5"/>
    <w:rsid w:val="00180603"/>
    <w:rsid w:val="00180B26"/>
    <w:rsid w:val="001816B6"/>
    <w:rsid w:val="0019086B"/>
    <w:rsid w:val="00191F3A"/>
    <w:rsid w:val="00192E09"/>
    <w:rsid w:val="00194C70"/>
    <w:rsid w:val="00195DCD"/>
    <w:rsid w:val="001A4602"/>
    <w:rsid w:val="001A5B20"/>
    <w:rsid w:val="001A5DB3"/>
    <w:rsid w:val="001A6E8F"/>
    <w:rsid w:val="001B242D"/>
    <w:rsid w:val="001B5243"/>
    <w:rsid w:val="001B5F27"/>
    <w:rsid w:val="001B6B4E"/>
    <w:rsid w:val="001C0C96"/>
    <w:rsid w:val="001C2115"/>
    <w:rsid w:val="001C36E3"/>
    <w:rsid w:val="001C4BA9"/>
    <w:rsid w:val="001D00BB"/>
    <w:rsid w:val="001D27BC"/>
    <w:rsid w:val="001D334F"/>
    <w:rsid w:val="001D377B"/>
    <w:rsid w:val="001D396C"/>
    <w:rsid w:val="001D3F48"/>
    <w:rsid w:val="001E2C30"/>
    <w:rsid w:val="001E4620"/>
    <w:rsid w:val="001E573D"/>
    <w:rsid w:val="001E7E59"/>
    <w:rsid w:val="001F175F"/>
    <w:rsid w:val="001F1889"/>
    <w:rsid w:val="001F2A60"/>
    <w:rsid w:val="001F30A9"/>
    <w:rsid w:val="001F30BA"/>
    <w:rsid w:val="001F693E"/>
    <w:rsid w:val="001F7282"/>
    <w:rsid w:val="00204D4A"/>
    <w:rsid w:val="00213D9A"/>
    <w:rsid w:val="00214A39"/>
    <w:rsid w:val="002165C0"/>
    <w:rsid w:val="00227976"/>
    <w:rsid w:val="002335D9"/>
    <w:rsid w:val="00233FB7"/>
    <w:rsid w:val="00234EBF"/>
    <w:rsid w:val="00235BAA"/>
    <w:rsid w:val="00237C6D"/>
    <w:rsid w:val="00246240"/>
    <w:rsid w:val="00247253"/>
    <w:rsid w:val="002571FA"/>
    <w:rsid w:val="00266EF1"/>
    <w:rsid w:val="00266F62"/>
    <w:rsid w:val="002708DF"/>
    <w:rsid w:val="0027216C"/>
    <w:rsid w:val="002740EB"/>
    <w:rsid w:val="002763BF"/>
    <w:rsid w:val="00277062"/>
    <w:rsid w:val="00277376"/>
    <w:rsid w:val="00277799"/>
    <w:rsid w:val="00277DE9"/>
    <w:rsid w:val="00281366"/>
    <w:rsid w:val="002827F5"/>
    <w:rsid w:val="00283F30"/>
    <w:rsid w:val="002910F2"/>
    <w:rsid w:val="0029284A"/>
    <w:rsid w:val="002939BF"/>
    <w:rsid w:val="00296E3A"/>
    <w:rsid w:val="002A3E75"/>
    <w:rsid w:val="002B02E1"/>
    <w:rsid w:val="002B18ED"/>
    <w:rsid w:val="002B194B"/>
    <w:rsid w:val="002B29A5"/>
    <w:rsid w:val="002B4144"/>
    <w:rsid w:val="002B43F4"/>
    <w:rsid w:val="002C1C13"/>
    <w:rsid w:val="002C383E"/>
    <w:rsid w:val="002C50B7"/>
    <w:rsid w:val="002D27F0"/>
    <w:rsid w:val="002D5D70"/>
    <w:rsid w:val="002D64B9"/>
    <w:rsid w:val="002E07B8"/>
    <w:rsid w:val="002E11EB"/>
    <w:rsid w:val="002E5361"/>
    <w:rsid w:val="002E56EB"/>
    <w:rsid w:val="002F078A"/>
    <w:rsid w:val="002F416D"/>
    <w:rsid w:val="002F61A4"/>
    <w:rsid w:val="002F6FF2"/>
    <w:rsid w:val="00300DF7"/>
    <w:rsid w:val="00301A79"/>
    <w:rsid w:val="00303567"/>
    <w:rsid w:val="00304504"/>
    <w:rsid w:val="00304C0D"/>
    <w:rsid w:val="00304F64"/>
    <w:rsid w:val="0030571B"/>
    <w:rsid w:val="00306202"/>
    <w:rsid w:val="00306584"/>
    <w:rsid w:val="00320416"/>
    <w:rsid w:val="00322015"/>
    <w:rsid w:val="003222C7"/>
    <w:rsid w:val="00323F9E"/>
    <w:rsid w:val="00324D07"/>
    <w:rsid w:val="003260EE"/>
    <w:rsid w:val="003308A2"/>
    <w:rsid w:val="00334261"/>
    <w:rsid w:val="00336E27"/>
    <w:rsid w:val="00337FB9"/>
    <w:rsid w:val="00342CC7"/>
    <w:rsid w:val="00343F4B"/>
    <w:rsid w:val="00345E79"/>
    <w:rsid w:val="00345F2B"/>
    <w:rsid w:val="003501F4"/>
    <w:rsid w:val="00353B1D"/>
    <w:rsid w:val="00356B20"/>
    <w:rsid w:val="00357371"/>
    <w:rsid w:val="00362591"/>
    <w:rsid w:val="00362738"/>
    <w:rsid w:val="00362CF2"/>
    <w:rsid w:val="00366A95"/>
    <w:rsid w:val="0036782F"/>
    <w:rsid w:val="003702C7"/>
    <w:rsid w:val="0037116E"/>
    <w:rsid w:val="003727DE"/>
    <w:rsid w:val="003752C4"/>
    <w:rsid w:val="00377B0C"/>
    <w:rsid w:val="00382140"/>
    <w:rsid w:val="00382E9C"/>
    <w:rsid w:val="0038493B"/>
    <w:rsid w:val="003853BA"/>
    <w:rsid w:val="003855ED"/>
    <w:rsid w:val="00386829"/>
    <w:rsid w:val="00390760"/>
    <w:rsid w:val="003A1842"/>
    <w:rsid w:val="003A272E"/>
    <w:rsid w:val="003A3685"/>
    <w:rsid w:val="003B10AC"/>
    <w:rsid w:val="003B224E"/>
    <w:rsid w:val="003B5076"/>
    <w:rsid w:val="003B7054"/>
    <w:rsid w:val="003C4173"/>
    <w:rsid w:val="003C6156"/>
    <w:rsid w:val="003C61DE"/>
    <w:rsid w:val="003C692A"/>
    <w:rsid w:val="003D0356"/>
    <w:rsid w:val="003D1957"/>
    <w:rsid w:val="003D44A8"/>
    <w:rsid w:val="003D7FB1"/>
    <w:rsid w:val="003E123E"/>
    <w:rsid w:val="003E24A0"/>
    <w:rsid w:val="003E4A35"/>
    <w:rsid w:val="003E58B3"/>
    <w:rsid w:val="003F137B"/>
    <w:rsid w:val="003F4E0B"/>
    <w:rsid w:val="003F6609"/>
    <w:rsid w:val="003F6A8C"/>
    <w:rsid w:val="00405912"/>
    <w:rsid w:val="00406197"/>
    <w:rsid w:val="00406A19"/>
    <w:rsid w:val="0040727D"/>
    <w:rsid w:val="00411F41"/>
    <w:rsid w:val="004127EF"/>
    <w:rsid w:val="00412C61"/>
    <w:rsid w:val="00414895"/>
    <w:rsid w:val="00415508"/>
    <w:rsid w:val="004166B3"/>
    <w:rsid w:val="00416B3C"/>
    <w:rsid w:val="00420024"/>
    <w:rsid w:val="00422F90"/>
    <w:rsid w:val="00434AF5"/>
    <w:rsid w:val="00437D7C"/>
    <w:rsid w:val="004471E3"/>
    <w:rsid w:val="00451CCF"/>
    <w:rsid w:val="00452F9E"/>
    <w:rsid w:val="00454708"/>
    <w:rsid w:val="004558C4"/>
    <w:rsid w:val="004560BF"/>
    <w:rsid w:val="0046202F"/>
    <w:rsid w:val="004662D7"/>
    <w:rsid w:val="00466326"/>
    <w:rsid w:val="004731DE"/>
    <w:rsid w:val="00474B86"/>
    <w:rsid w:val="004760D3"/>
    <w:rsid w:val="00476F32"/>
    <w:rsid w:val="004818E0"/>
    <w:rsid w:val="00482AB8"/>
    <w:rsid w:val="004831E3"/>
    <w:rsid w:val="004837EE"/>
    <w:rsid w:val="004878B6"/>
    <w:rsid w:val="004919AE"/>
    <w:rsid w:val="00492A5B"/>
    <w:rsid w:val="00493653"/>
    <w:rsid w:val="00494277"/>
    <w:rsid w:val="0049465E"/>
    <w:rsid w:val="00495CD5"/>
    <w:rsid w:val="00496898"/>
    <w:rsid w:val="0049727F"/>
    <w:rsid w:val="004A03D0"/>
    <w:rsid w:val="004A16D2"/>
    <w:rsid w:val="004A3B43"/>
    <w:rsid w:val="004A4BDF"/>
    <w:rsid w:val="004A4C0D"/>
    <w:rsid w:val="004A4D5A"/>
    <w:rsid w:val="004A4FE7"/>
    <w:rsid w:val="004A6824"/>
    <w:rsid w:val="004B0398"/>
    <w:rsid w:val="004C6219"/>
    <w:rsid w:val="004D1947"/>
    <w:rsid w:val="004D1FB6"/>
    <w:rsid w:val="004D461A"/>
    <w:rsid w:val="004E009B"/>
    <w:rsid w:val="004E3E9D"/>
    <w:rsid w:val="004E5A8F"/>
    <w:rsid w:val="004E6A35"/>
    <w:rsid w:val="004E6C63"/>
    <w:rsid w:val="004E7AF6"/>
    <w:rsid w:val="004F0EC1"/>
    <w:rsid w:val="004F14E8"/>
    <w:rsid w:val="004F4E08"/>
    <w:rsid w:val="004F569F"/>
    <w:rsid w:val="004F6B9C"/>
    <w:rsid w:val="004F73A2"/>
    <w:rsid w:val="00500335"/>
    <w:rsid w:val="00503BFF"/>
    <w:rsid w:val="00504B51"/>
    <w:rsid w:val="0050546D"/>
    <w:rsid w:val="00505F8C"/>
    <w:rsid w:val="0050758E"/>
    <w:rsid w:val="005101FB"/>
    <w:rsid w:val="0051082A"/>
    <w:rsid w:val="00511726"/>
    <w:rsid w:val="00513FCB"/>
    <w:rsid w:val="00515306"/>
    <w:rsid w:val="00515F32"/>
    <w:rsid w:val="0052090F"/>
    <w:rsid w:val="00526850"/>
    <w:rsid w:val="0052686A"/>
    <w:rsid w:val="00531EE5"/>
    <w:rsid w:val="005378A2"/>
    <w:rsid w:val="00537994"/>
    <w:rsid w:val="005407AA"/>
    <w:rsid w:val="005412C2"/>
    <w:rsid w:val="0054143E"/>
    <w:rsid w:val="0054150C"/>
    <w:rsid w:val="005416F4"/>
    <w:rsid w:val="00542C77"/>
    <w:rsid w:val="005440B5"/>
    <w:rsid w:val="00544B7A"/>
    <w:rsid w:val="00546731"/>
    <w:rsid w:val="0054688E"/>
    <w:rsid w:val="00551820"/>
    <w:rsid w:val="005545AB"/>
    <w:rsid w:val="00555107"/>
    <w:rsid w:val="00557295"/>
    <w:rsid w:val="00561AB8"/>
    <w:rsid w:val="00566D8D"/>
    <w:rsid w:val="00570BF1"/>
    <w:rsid w:val="00573304"/>
    <w:rsid w:val="0057394C"/>
    <w:rsid w:val="00583DE2"/>
    <w:rsid w:val="0059004A"/>
    <w:rsid w:val="00591A2E"/>
    <w:rsid w:val="00591ABB"/>
    <w:rsid w:val="00595ABB"/>
    <w:rsid w:val="00595E44"/>
    <w:rsid w:val="005A0E21"/>
    <w:rsid w:val="005A134E"/>
    <w:rsid w:val="005A3F69"/>
    <w:rsid w:val="005A59F8"/>
    <w:rsid w:val="005B00A3"/>
    <w:rsid w:val="005B3ADD"/>
    <w:rsid w:val="005B65F7"/>
    <w:rsid w:val="005B715B"/>
    <w:rsid w:val="005C16BB"/>
    <w:rsid w:val="005C23F9"/>
    <w:rsid w:val="005D3120"/>
    <w:rsid w:val="005D4AB7"/>
    <w:rsid w:val="005D6B93"/>
    <w:rsid w:val="005D743E"/>
    <w:rsid w:val="005E0976"/>
    <w:rsid w:val="005E0E40"/>
    <w:rsid w:val="005E7C3F"/>
    <w:rsid w:val="005E7FE7"/>
    <w:rsid w:val="005F1709"/>
    <w:rsid w:val="005F5C64"/>
    <w:rsid w:val="005F5F9A"/>
    <w:rsid w:val="005F7285"/>
    <w:rsid w:val="00600703"/>
    <w:rsid w:val="0060245C"/>
    <w:rsid w:val="0060288D"/>
    <w:rsid w:val="00603AEA"/>
    <w:rsid w:val="00611895"/>
    <w:rsid w:val="00613896"/>
    <w:rsid w:val="0062074B"/>
    <w:rsid w:val="00621984"/>
    <w:rsid w:val="00621A50"/>
    <w:rsid w:val="006233FC"/>
    <w:rsid w:val="00625BE7"/>
    <w:rsid w:val="00627200"/>
    <w:rsid w:val="006319D5"/>
    <w:rsid w:val="006322D3"/>
    <w:rsid w:val="00633868"/>
    <w:rsid w:val="00634C62"/>
    <w:rsid w:val="00642DCA"/>
    <w:rsid w:val="0064314D"/>
    <w:rsid w:val="00644833"/>
    <w:rsid w:val="006453B5"/>
    <w:rsid w:val="006464C4"/>
    <w:rsid w:val="00653C3A"/>
    <w:rsid w:val="006565BC"/>
    <w:rsid w:val="0066109C"/>
    <w:rsid w:val="00662059"/>
    <w:rsid w:val="006621F6"/>
    <w:rsid w:val="00664088"/>
    <w:rsid w:val="006652D5"/>
    <w:rsid w:val="00666202"/>
    <w:rsid w:val="0067109B"/>
    <w:rsid w:val="00671F3E"/>
    <w:rsid w:val="00672815"/>
    <w:rsid w:val="00673A69"/>
    <w:rsid w:val="00673F82"/>
    <w:rsid w:val="006745A0"/>
    <w:rsid w:val="00674C25"/>
    <w:rsid w:val="0067735F"/>
    <w:rsid w:val="0068013A"/>
    <w:rsid w:val="00680BDE"/>
    <w:rsid w:val="00684A9A"/>
    <w:rsid w:val="00684F9E"/>
    <w:rsid w:val="006853B8"/>
    <w:rsid w:val="00691F06"/>
    <w:rsid w:val="00693A27"/>
    <w:rsid w:val="00693C24"/>
    <w:rsid w:val="0069471E"/>
    <w:rsid w:val="00694A07"/>
    <w:rsid w:val="00694C91"/>
    <w:rsid w:val="00695C65"/>
    <w:rsid w:val="006A152C"/>
    <w:rsid w:val="006A1E13"/>
    <w:rsid w:val="006A4344"/>
    <w:rsid w:val="006A5A7D"/>
    <w:rsid w:val="006A6D53"/>
    <w:rsid w:val="006B207D"/>
    <w:rsid w:val="006B40BF"/>
    <w:rsid w:val="006B4670"/>
    <w:rsid w:val="006B780E"/>
    <w:rsid w:val="006C322C"/>
    <w:rsid w:val="006C7F56"/>
    <w:rsid w:val="006C7FA8"/>
    <w:rsid w:val="006D0C36"/>
    <w:rsid w:val="006D1DF5"/>
    <w:rsid w:val="006D310E"/>
    <w:rsid w:val="006D3F03"/>
    <w:rsid w:val="006E1CC8"/>
    <w:rsid w:val="006E23D4"/>
    <w:rsid w:val="006E3604"/>
    <w:rsid w:val="006E6037"/>
    <w:rsid w:val="006E6987"/>
    <w:rsid w:val="006E727E"/>
    <w:rsid w:val="006F0AA7"/>
    <w:rsid w:val="006F0E64"/>
    <w:rsid w:val="006F353E"/>
    <w:rsid w:val="006F4943"/>
    <w:rsid w:val="006F533D"/>
    <w:rsid w:val="006F6A67"/>
    <w:rsid w:val="00711A10"/>
    <w:rsid w:val="00713B71"/>
    <w:rsid w:val="00725CB7"/>
    <w:rsid w:val="007264E3"/>
    <w:rsid w:val="00726557"/>
    <w:rsid w:val="00731C18"/>
    <w:rsid w:val="00732027"/>
    <w:rsid w:val="0073530A"/>
    <w:rsid w:val="00740F13"/>
    <w:rsid w:val="007427EE"/>
    <w:rsid w:val="007445D5"/>
    <w:rsid w:val="0074461A"/>
    <w:rsid w:val="00744742"/>
    <w:rsid w:val="0074583C"/>
    <w:rsid w:val="00747021"/>
    <w:rsid w:val="00750888"/>
    <w:rsid w:val="00751091"/>
    <w:rsid w:val="00751A34"/>
    <w:rsid w:val="00751E88"/>
    <w:rsid w:val="0075549C"/>
    <w:rsid w:val="00755ABB"/>
    <w:rsid w:val="00757FCB"/>
    <w:rsid w:val="00760ECE"/>
    <w:rsid w:val="00761184"/>
    <w:rsid w:val="0076189D"/>
    <w:rsid w:val="00762FDC"/>
    <w:rsid w:val="00763564"/>
    <w:rsid w:val="00764C2F"/>
    <w:rsid w:val="00767A94"/>
    <w:rsid w:val="00770B51"/>
    <w:rsid w:val="00771ED6"/>
    <w:rsid w:val="007742A7"/>
    <w:rsid w:val="0077755D"/>
    <w:rsid w:val="007814E2"/>
    <w:rsid w:val="00782A8C"/>
    <w:rsid w:val="007843EA"/>
    <w:rsid w:val="00784637"/>
    <w:rsid w:val="007861C7"/>
    <w:rsid w:val="00787953"/>
    <w:rsid w:val="00791187"/>
    <w:rsid w:val="00791BFE"/>
    <w:rsid w:val="00793A7F"/>
    <w:rsid w:val="00793D5C"/>
    <w:rsid w:val="00794E7A"/>
    <w:rsid w:val="0079586C"/>
    <w:rsid w:val="00795F86"/>
    <w:rsid w:val="0079691A"/>
    <w:rsid w:val="007A1880"/>
    <w:rsid w:val="007A2728"/>
    <w:rsid w:val="007A3D07"/>
    <w:rsid w:val="007A47CB"/>
    <w:rsid w:val="007A57BE"/>
    <w:rsid w:val="007A682C"/>
    <w:rsid w:val="007A6C2F"/>
    <w:rsid w:val="007B34B1"/>
    <w:rsid w:val="007B41CC"/>
    <w:rsid w:val="007B7A06"/>
    <w:rsid w:val="007C1E2F"/>
    <w:rsid w:val="007C2C76"/>
    <w:rsid w:val="007C3A5F"/>
    <w:rsid w:val="007C44BB"/>
    <w:rsid w:val="007C5D99"/>
    <w:rsid w:val="007D0F2D"/>
    <w:rsid w:val="007D10C2"/>
    <w:rsid w:val="007D2A28"/>
    <w:rsid w:val="007D31D9"/>
    <w:rsid w:val="007D4C35"/>
    <w:rsid w:val="007E1CCC"/>
    <w:rsid w:val="007E2FDF"/>
    <w:rsid w:val="007E376F"/>
    <w:rsid w:val="007E3FAA"/>
    <w:rsid w:val="007E5B49"/>
    <w:rsid w:val="007F1A7F"/>
    <w:rsid w:val="007F472A"/>
    <w:rsid w:val="007F4876"/>
    <w:rsid w:val="008009BC"/>
    <w:rsid w:val="00801DD4"/>
    <w:rsid w:val="00803351"/>
    <w:rsid w:val="0080391E"/>
    <w:rsid w:val="00813F15"/>
    <w:rsid w:val="0081750B"/>
    <w:rsid w:val="00822C8D"/>
    <w:rsid w:val="00825CB0"/>
    <w:rsid w:val="00827519"/>
    <w:rsid w:val="008316F5"/>
    <w:rsid w:val="00831EF7"/>
    <w:rsid w:val="008329E2"/>
    <w:rsid w:val="00832FB3"/>
    <w:rsid w:val="00834653"/>
    <w:rsid w:val="00836C34"/>
    <w:rsid w:val="00843BC8"/>
    <w:rsid w:val="00844D36"/>
    <w:rsid w:val="008479A4"/>
    <w:rsid w:val="00847A4C"/>
    <w:rsid w:val="00851071"/>
    <w:rsid w:val="008510B3"/>
    <w:rsid w:val="00852697"/>
    <w:rsid w:val="008573F0"/>
    <w:rsid w:val="008574F4"/>
    <w:rsid w:val="008607A0"/>
    <w:rsid w:val="00861AFA"/>
    <w:rsid w:val="00862C92"/>
    <w:rsid w:val="008638CD"/>
    <w:rsid w:val="008642DD"/>
    <w:rsid w:val="008655CD"/>
    <w:rsid w:val="00870381"/>
    <w:rsid w:val="008724B0"/>
    <w:rsid w:val="00873D32"/>
    <w:rsid w:val="00882EA6"/>
    <w:rsid w:val="008842BA"/>
    <w:rsid w:val="0088677C"/>
    <w:rsid w:val="00887DC8"/>
    <w:rsid w:val="00890E16"/>
    <w:rsid w:val="008928ED"/>
    <w:rsid w:val="0089299F"/>
    <w:rsid w:val="008A1901"/>
    <w:rsid w:val="008A2EF2"/>
    <w:rsid w:val="008B22DC"/>
    <w:rsid w:val="008B6261"/>
    <w:rsid w:val="008B634D"/>
    <w:rsid w:val="008C04F3"/>
    <w:rsid w:val="008C28F1"/>
    <w:rsid w:val="008C4E26"/>
    <w:rsid w:val="008C7172"/>
    <w:rsid w:val="008C7CBB"/>
    <w:rsid w:val="008D1C6B"/>
    <w:rsid w:val="008D43B6"/>
    <w:rsid w:val="008D598B"/>
    <w:rsid w:val="008D6738"/>
    <w:rsid w:val="008D7909"/>
    <w:rsid w:val="008E022E"/>
    <w:rsid w:val="008E04B3"/>
    <w:rsid w:val="008E06D6"/>
    <w:rsid w:val="008F4167"/>
    <w:rsid w:val="008F437F"/>
    <w:rsid w:val="008F4C94"/>
    <w:rsid w:val="008F6551"/>
    <w:rsid w:val="008F659C"/>
    <w:rsid w:val="008F7ED7"/>
    <w:rsid w:val="008F7F5E"/>
    <w:rsid w:val="009040DA"/>
    <w:rsid w:val="009103B2"/>
    <w:rsid w:val="00910EA6"/>
    <w:rsid w:val="00911549"/>
    <w:rsid w:val="00913450"/>
    <w:rsid w:val="009147DF"/>
    <w:rsid w:val="009165D7"/>
    <w:rsid w:val="00917605"/>
    <w:rsid w:val="00921467"/>
    <w:rsid w:val="009258E7"/>
    <w:rsid w:val="009323AE"/>
    <w:rsid w:val="009358B1"/>
    <w:rsid w:val="009403A8"/>
    <w:rsid w:val="00942289"/>
    <w:rsid w:val="00943407"/>
    <w:rsid w:val="00944DD1"/>
    <w:rsid w:val="00946957"/>
    <w:rsid w:val="0095229F"/>
    <w:rsid w:val="00960233"/>
    <w:rsid w:val="0096166B"/>
    <w:rsid w:val="00962183"/>
    <w:rsid w:val="00963907"/>
    <w:rsid w:val="00964B7D"/>
    <w:rsid w:val="00972E33"/>
    <w:rsid w:val="00973989"/>
    <w:rsid w:val="00973E17"/>
    <w:rsid w:val="00974CA4"/>
    <w:rsid w:val="009758E4"/>
    <w:rsid w:val="009766DC"/>
    <w:rsid w:val="00977267"/>
    <w:rsid w:val="00981388"/>
    <w:rsid w:val="00983D82"/>
    <w:rsid w:val="00993876"/>
    <w:rsid w:val="00995491"/>
    <w:rsid w:val="00995F2B"/>
    <w:rsid w:val="009A02A4"/>
    <w:rsid w:val="009A0666"/>
    <w:rsid w:val="009A35D2"/>
    <w:rsid w:val="009A446D"/>
    <w:rsid w:val="009A5323"/>
    <w:rsid w:val="009A607A"/>
    <w:rsid w:val="009A6961"/>
    <w:rsid w:val="009B33DA"/>
    <w:rsid w:val="009B5B1B"/>
    <w:rsid w:val="009B600A"/>
    <w:rsid w:val="009B65EB"/>
    <w:rsid w:val="009B6988"/>
    <w:rsid w:val="009C1124"/>
    <w:rsid w:val="009C568C"/>
    <w:rsid w:val="009C6C5F"/>
    <w:rsid w:val="009D1180"/>
    <w:rsid w:val="009D1966"/>
    <w:rsid w:val="009E538B"/>
    <w:rsid w:val="009E6C55"/>
    <w:rsid w:val="009E78CA"/>
    <w:rsid w:val="009F3239"/>
    <w:rsid w:val="009F79C3"/>
    <w:rsid w:val="009F7D06"/>
    <w:rsid w:val="00A005EE"/>
    <w:rsid w:val="00A0350A"/>
    <w:rsid w:val="00A06E01"/>
    <w:rsid w:val="00A113AC"/>
    <w:rsid w:val="00A16BB9"/>
    <w:rsid w:val="00A22DF9"/>
    <w:rsid w:val="00A26AEE"/>
    <w:rsid w:val="00A27589"/>
    <w:rsid w:val="00A30897"/>
    <w:rsid w:val="00A314BF"/>
    <w:rsid w:val="00A3447C"/>
    <w:rsid w:val="00A42038"/>
    <w:rsid w:val="00A4213A"/>
    <w:rsid w:val="00A44F87"/>
    <w:rsid w:val="00A47783"/>
    <w:rsid w:val="00A50149"/>
    <w:rsid w:val="00A504F8"/>
    <w:rsid w:val="00A52DBE"/>
    <w:rsid w:val="00A60B71"/>
    <w:rsid w:val="00A65873"/>
    <w:rsid w:val="00A67862"/>
    <w:rsid w:val="00A67DC3"/>
    <w:rsid w:val="00A72175"/>
    <w:rsid w:val="00A73137"/>
    <w:rsid w:val="00A75C4A"/>
    <w:rsid w:val="00A81537"/>
    <w:rsid w:val="00A8206B"/>
    <w:rsid w:val="00A8400F"/>
    <w:rsid w:val="00A8430D"/>
    <w:rsid w:val="00A843E8"/>
    <w:rsid w:val="00A84D4B"/>
    <w:rsid w:val="00A84D93"/>
    <w:rsid w:val="00A86022"/>
    <w:rsid w:val="00A872BC"/>
    <w:rsid w:val="00A9105E"/>
    <w:rsid w:val="00A92D78"/>
    <w:rsid w:val="00A94C29"/>
    <w:rsid w:val="00A96572"/>
    <w:rsid w:val="00AA00A8"/>
    <w:rsid w:val="00AA17C9"/>
    <w:rsid w:val="00AA2A0A"/>
    <w:rsid w:val="00AA33D7"/>
    <w:rsid w:val="00AB07F5"/>
    <w:rsid w:val="00AB2425"/>
    <w:rsid w:val="00AB4EA8"/>
    <w:rsid w:val="00AB73AD"/>
    <w:rsid w:val="00AC0965"/>
    <w:rsid w:val="00AC4018"/>
    <w:rsid w:val="00AC55B7"/>
    <w:rsid w:val="00AC5CF9"/>
    <w:rsid w:val="00AC6E57"/>
    <w:rsid w:val="00AC79C8"/>
    <w:rsid w:val="00AD03C3"/>
    <w:rsid w:val="00AD093A"/>
    <w:rsid w:val="00AD3213"/>
    <w:rsid w:val="00AE299E"/>
    <w:rsid w:val="00AE4DA1"/>
    <w:rsid w:val="00AE5135"/>
    <w:rsid w:val="00AE6585"/>
    <w:rsid w:val="00AE753B"/>
    <w:rsid w:val="00AF1D37"/>
    <w:rsid w:val="00AF39FA"/>
    <w:rsid w:val="00AF66EE"/>
    <w:rsid w:val="00B00B64"/>
    <w:rsid w:val="00B0146F"/>
    <w:rsid w:val="00B0498E"/>
    <w:rsid w:val="00B1254C"/>
    <w:rsid w:val="00B13FB6"/>
    <w:rsid w:val="00B16F51"/>
    <w:rsid w:val="00B2073A"/>
    <w:rsid w:val="00B209CC"/>
    <w:rsid w:val="00B212F1"/>
    <w:rsid w:val="00B22576"/>
    <w:rsid w:val="00B2333E"/>
    <w:rsid w:val="00B25750"/>
    <w:rsid w:val="00B27A70"/>
    <w:rsid w:val="00B27B30"/>
    <w:rsid w:val="00B30419"/>
    <w:rsid w:val="00B323F6"/>
    <w:rsid w:val="00B32AA8"/>
    <w:rsid w:val="00B350F2"/>
    <w:rsid w:val="00B36A9E"/>
    <w:rsid w:val="00B41049"/>
    <w:rsid w:val="00B41F3C"/>
    <w:rsid w:val="00B44814"/>
    <w:rsid w:val="00B565A9"/>
    <w:rsid w:val="00B6266B"/>
    <w:rsid w:val="00B65B8B"/>
    <w:rsid w:val="00B65CF4"/>
    <w:rsid w:val="00B6797F"/>
    <w:rsid w:val="00B709F4"/>
    <w:rsid w:val="00B7186E"/>
    <w:rsid w:val="00B72F9D"/>
    <w:rsid w:val="00B731CE"/>
    <w:rsid w:val="00B7642D"/>
    <w:rsid w:val="00B77B29"/>
    <w:rsid w:val="00B8175A"/>
    <w:rsid w:val="00B820B9"/>
    <w:rsid w:val="00B82D6E"/>
    <w:rsid w:val="00B857AC"/>
    <w:rsid w:val="00B85D18"/>
    <w:rsid w:val="00BA09AF"/>
    <w:rsid w:val="00BA1D76"/>
    <w:rsid w:val="00BA23AE"/>
    <w:rsid w:val="00BA27A5"/>
    <w:rsid w:val="00BA3F51"/>
    <w:rsid w:val="00BA3F84"/>
    <w:rsid w:val="00BA5360"/>
    <w:rsid w:val="00BB15EF"/>
    <w:rsid w:val="00BB3A0E"/>
    <w:rsid w:val="00BB3B89"/>
    <w:rsid w:val="00BC4494"/>
    <w:rsid w:val="00BC533A"/>
    <w:rsid w:val="00BD4FA6"/>
    <w:rsid w:val="00BD77BF"/>
    <w:rsid w:val="00BE0C87"/>
    <w:rsid w:val="00BE1B2D"/>
    <w:rsid w:val="00BE23F3"/>
    <w:rsid w:val="00BE4655"/>
    <w:rsid w:val="00BE6689"/>
    <w:rsid w:val="00BE6799"/>
    <w:rsid w:val="00BE7CE6"/>
    <w:rsid w:val="00BF53D6"/>
    <w:rsid w:val="00BF559A"/>
    <w:rsid w:val="00BF612E"/>
    <w:rsid w:val="00C01E96"/>
    <w:rsid w:val="00C023E7"/>
    <w:rsid w:val="00C05A64"/>
    <w:rsid w:val="00C074C6"/>
    <w:rsid w:val="00C1075E"/>
    <w:rsid w:val="00C12DCB"/>
    <w:rsid w:val="00C1511F"/>
    <w:rsid w:val="00C156E0"/>
    <w:rsid w:val="00C16FD6"/>
    <w:rsid w:val="00C20A27"/>
    <w:rsid w:val="00C21520"/>
    <w:rsid w:val="00C22FC1"/>
    <w:rsid w:val="00C24533"/>
    <w:rsid w:val="00C25748"/>
    <w:rsid w:val="00C26E88"/>
    <w:rsid w:val="00C27ABE"/>
    <w:rsid w:val="00C34870"/>
    <w:rsid w:val="00C3506F"/>
    <w:rsid w:val="00C35F50"/>
    <w:rsid w:val="00C37397"/>
    <w:rsid w:val="00C47207"/>
    <w:rsid w:val="00C5040C"/>
    <w:rsid w:val="00C55729"/>
    <w:rsid w:val="00C57312"/>
    <w:rsid w:val="00C64FCD"/>
    <w:rsid w:val="00C705A3"/>
    <w:rsid w:val="00C70614"/>
    <w:rsid w:val="00C742C9"/>
    <w:rsid w:val="00C75C20"/>
    <w:rsid w:val="00C813C3"/>
    <w:rsid w:val="00C824FD"/>
    <w:rsid w:val="00C84B7D"/>
    <w:rsid w:val="00C850BE"/>
    <w:rsid w:val="00C91BDC"/>
    <w:rsid w:val="00C93B85"/>
    <w:rsid w:val="00C940DA"/>
    <w:rsid w:val="00C9417A"/>
    <w:rsid w:val="00C95957"/>
    <w:rsid w:val="00C95FD4"/>
    <w:rsid w:val="00CA37FB"/>
    <w:rsid w:val="00CB0D90"/>
    <w:rsid w:val="00CB1015"/>
    <w:rsid w:val="00CB118C"/>
    <w:rsid w:val="00CB313D"/>
    <w:rsid w:val="00CB33C4"/>
    <w:rsid w:val="00CB4A0C"/>
    <w:rsid w:val="00CB5BB4"/>
    <w:rsid w:val="00CB68EE"/>
    <w:rsid w:val="00CB7B47"/>
    <w:rsid w:val="00CC0ACB"/>
    <w:rsid w:val="00CC59B8"/>
    <w:rsid w:val="00CD192D"/>
    <w:rsid w:val="00CD24EE"/>
    <w:rsid w:val="00CD3062"/>
    <w:rsid w:val="00CD4AFD"/>
    <w:rsid w:val="00CD642D"/>
    <w:rsid w:val="00CE1A1A"/>
    <w:rsid w:val="00CE682E"/>
    <w:rsid w:val="00CF053A"/>
    <w:rsid w:val="00CF2306"/>
    <w:rsid w:val="00CF3F5B"/>
    <w:rsid w:val="00CF6AC8"/>
    <w:rsid w:val="00CF7505"/>
    <w:rsid w:val="00D00CA1"/>
    <w:rsid w:val="00D058CD"/>
    <w:rsid w:val="00D05C45"/>
    <w:rsid w:val="00D07B19"/>
    <w:rsid w:val="00D10682"/>
    <w:rsid w:val="00D137AB"/>
    <w:rsid w:val="00D211E5"/>
    <w:rsid w:val="00D22DEA"/>
    <w:rsid w:val="00D23674"/>
    <w:rsid w:val="00D24FA9"/>
    <w:rsid w:val="00D3104F"/>
    <w:rsid w:val="00D36EA4"/>
    <w:rsid w:val="00D53B0B"/>
    <w:rsid w:val="00D547D1"/>
    <w:rsid w:val="00D54EF7"/>
    <w:rsid w:val="00D57749"/>
    <w:rsid w:val="00D61D90"/>
    <w:rsid w:val="00D632C7"/>
    <w:rsid w:val="00D652CD"/>
    <w:rsid w:val="00D66C15"/>
    <w:rsid w:val="00D70232"/>
    <w:rsid w:val="00D71C21"/>
    <w:rsid w:val="00D74C52"/>
    <w:rsid w:val="00D76027"/>
    <w:rsid w:val="00D771A2"/>
    <w:rsid w:val="00D81217"/>
    <w:rsid w:val="00D90195"/>
    <w:rsid w:val="00D92752"/>
    <w:rsid w:val="00D9383E"/>
    <w:rsid w:val="00D940AB"/>
    <w:rsid w:val="00D97DAB"/>
    <w:rsid w:val="00DA0604"/>
    <w:rsid w:val="00DA22DA"/>
    <w:rsid w:val="00DA2FE2"/>
    <w:rsid w:val="00DB2B0C"/>
    <w:rsid w:val="00DB3B8F"/>
    <w:rsid w:val="00DB43C0"/>
    <w:rsid w:val="00DB7D11"/>
    <w:rsid w:val="00DC298C"/>
    <w:rsid w:val="00DC45C6"/>
    <w:rsid w:val="00DC6AAD"/>
    <w:rsid w:val="00DD0F61"/>
    <w:rsid w:val="00DD1CDC"/>
    <w:rsid w:val="00DD2692"/>
    <w:rsid w:val="00DD327F"/>
    <w:rsid w:val="00DD35D6"/>
    <w:rsid w:val="00DD7175"/>
    <w:rsid w:val="00DE2A3A"/>
    <w:rsid w:val="00DE3A1E"/>
    <w:rsid w:val="00DE5568"/>
    <w:rsid w:val="00DE64D5"/>
    <w:rsid w:val="00DE6F0F"/>
    <w:rsid w:val="00DF073E"/>
    <w:rsid w:val="00DF433C"/>
    <w:rsid w:val="00DF4994"/>
    <w:rsid w:val="00DF50FA"/>
    <w:rsid w:val="00DF70E8"/>
    <w:rsid w:val="00E0400D"/>
    <w:rsid w:val="00E0447F"/>
    <w:rsid w:val="00E120D1"/>
    <w:rsid w:val="00E17A4E"/>
    <w:rsid w:val="00E24097"/>
    <w:rsid w:val="00E263C3"/>
    <w:rsid w:val="00E32D5C"/>
    <w:rsid w:val="00E36CBF"/>
    <w:rsid w:val="00E36D73"/>
    <w:rsid w:val="00E40161"/>
    <w:rsid w:val="00E41213"/>
    <w:rsid w:val="00E423FE"/>
    <w:rsid w:val="00E4381E"/>
    <w:rsid w:val="00E51B5C"/>
    <w:rsid w:val="00E51DDE"/>
    <w:rsid w:val="00E527C6"/>
    <w:rsid w:val="00E5376C"/>
    <w:rsid w:val="00E60E2B"/>
    <w:rsid w:val="00E6203A"/>
    <w:rsid w:val="00E63D2B"/>
    <w:rsid w:val="00E6442D"/>
    <w:rsid w:val="00E659AC"/>
    <w:rsid w:val="00E65D6A"/>
    <w:rsid w:val="00E66722"/>
    <w:rsid w:val="00E709AF"/>
    <w:rsid w:val="00E717F2"/>
    <w:rsid w:val="00E719BF"/>
    <w:rsid w:val="00E73B19"/>
    <w:rsid w:val="00E80860"/>
    <w:rsid w:val="00E8464C"/>
    <w:rsid w:val="00EA2024"/>
    <w:rsid w:val="00EA4E3A"/>
    <w:rsid w:val="00EB29CF"/>
    <w:rsid w:val="00EB4221"/>
    <w:rsid w:val="00EB7EAB"/>
    <w:rsid w:val="00EC0BEB"/>
    <w:rsid w:val="00EC2A8E"/>
    <w:rsid w:val="00EC36BE"/>
    <w:rsid w:val="00EC46E4"/>
    <w:rsid w:val="00ED3F09"/>
    <w:rsid w:val="00ED5A48"/>
    <w:rsid w:val="00ED63B9"/>
    <w:rsid w:val="00EE1E35"/>
    <w:rsid w:val="00EE6659"/>
    <w:rsid w:val="00EE704F"/>
    <w:rsid w:val="00EE70C8"/>
    <w:rsid w:val="00EF02AC"/>
    <w:rsid w:val="00EF28B9"/>
    <w:rsid w:val="00EF3442"/>
    <w:rsid w:val="00EF362F"/>
    <w:rsid w:val="00EF5AB7"/>
    <w:rsid w:val="00F00B26"/>
    <w:rsid w:val="00F02E5D"/>
    <w:rsid w:val="00F035E1"/>
    <w:rsid w:val="00F15518"/>
    <w:rsid w:val="00F24C98"/>
    <w:rsid w:val="00F257C5"/>
    <w:rsid w:val="00F25BFD"/>
    <w:rsid w:val="00F262FB"/>
    <w:rsid w:val="00F26C46"/>
    <w:rsid w:val="00F30BC8"/>
    <w:rsid w:val="00F31B2F"/>
    <w:rsid w:val="00F338B0"/>
    <w:rsid w:val="00F37579"/>
    <w:rsid w:val="00F445B7"/>
    <w:rsid w:val="00F47C14"/>
    <w:rsid w:val="00F51356"/>
    <w:rsid w:val="00F5423E"/>
    <w:rsid w:val="00F601E6"/>
    <w:rsid w:val="00F60D9E"/>
    <w:rsid w:val="00F60F9F"/>
    <w:rsid w:val="00F629B5"/>
    <w:rsid w:val="00F62E4F"/>
    <w:rsid w:val="00F6651D"/>
    <w:rsid w:val="00F70DE6"/>
    <w:rsid w:val="00F724F7"/>
    <w:rsid w:val="00F7266F"/>
    <w:rsid w:val="00F74051"/>
    <w:rsid w:val="00F7776B"/>
    <w:rsid w:val="00F91972"/>
    <w:rsid w:val="00F9380D"/>
    <w:rsid w:val="00F94475"/>
    <w:rsid w:val="00F966F9"/>
    <w:rsid w:val="00FA0591"/>
    <w:rsid w:val="00FA6A21"/>
    <w:rsid w:val="00FA6F78"/>
    <w:rsid w:val="00FB2A7A"/>
    <w:rsid w:val="00FB407D"/>
    <w:rsid w:val="00FB60FC"/>
    <w:rsid w:val="00FB7009"/>
    <w:rsid w:val="00FC2876"/>
    <w:rsid w:val="00FC4228"/>
    <w:rsid w:val="00FC5A2C"/>
    <w:rsid w:val="00FC5FC1"/>
    <w:rsid w:val="00FD0732"/>
    <w:rsid w:val="00FD23D7"/>
    <w:rsid w:val="00FD4AF8"/>
    <w:rsid w:val="00FD50B1"/>
    <w:rsid w:val="00FD698A"/>
    <w:rsid w:val="00FD757D"/>
    <w:rsid w:val="00FE4CF7"/>
    <w:rsid w:val="00FF358C"/>
    <w:rsid w:val="00FF4357"/>
    <w:rsid w:val="00FF52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BA25F"/>
  <w15:docId w15:val="{D1003584-C234-47DE-8896-EF8DA0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qFormat="1"/>
    <w:lsdException w:name="List 3" w:semiHidden="1" w:unhideWhenUsed="1" w:qFormat="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53B5"/>
    <w:pPr>
      <w:spacing w:before="200" w:line="280" w:lineRule="exact"/>
      <w:jc w:val="both"/>
    </w:pPr>
    <w:rPr>
      <w:rFonts w:ascii="Segoe UI" w:eastAsiaTheme="majorEastAsia" w:hAnsi="Segoe UI" w:cstheme="majorBidi"/>
      <w:szCs w:val="22"/>
      <w:lang w:eastAsia="en-US" w:bidi="en-US"/>
    </w:rPr>
  </w:style>
  <w:style w:type="paragraph" w:styleId="berschrift1">
    <w:name w:val="heading 1"/>
    <w:basedOn w:val="Standard"/>
    <w:next w:val="Standard0"/>
    <w:link w:val="berschrift1Zchn"/>
    <w:qFormat/>
    <w:pPr>
      <w:keepNext/>
      <w:pageBreakBefore/>
      <w:numPr>
        <w:numId w:val="6"/>
      </w:numPr>
      <w:tabs>
        <w:tab w:val="left" w:pos="431"/>
      </w:tabs>
      <w:spacing w:before="0" w:after="400" w:line="400" w:lineRule="exact"/>
      <w:ind w:left="431" w:hanging="431"/>
      <w:jc w:val="left"/>
      <w:outlineLvl w:val="0"/>
    </w:pPr>
    <w:rPr>
      <w:rFonts w:ascii="Segoe UI Semibold" w:hAnsi="Segoe UI Semibold"/>
      <w:color w:val="32466E"/>
      <w:sz w:val="35"/>
      <w:szCs w:val="36"/>
    </w:rPr>
  </w:style>
  <w:style w:type="paragraph" w:styleId="berschrift2">
    <w:name w:val="heading 2"/>
    <w:basedOn w:val="berschrift1"/>
    <w:next w:val="Standard0"/>
    <w:link w:val="berschrift2Zchn"/>
    <w:qFormat/>
    <w:pPr>
      <w:pageBreakBefore w:val="0"/>
      <w:numPr>
        <w:ilvl w:val="1"/>
      </w:numPr>
      <w:tabs>
        <w:tab w:val="clear" w:pos="431"/>
        <w:tab w:val="left" w:pos="578"/>
      </w:tabs>
      <w:spacing w:before="480" w:after="280" w:line="320" w:lineRule="exact"/>
      <w:ind w:left="578" w:hanging="578"/>
      <w:outlineLvl w:val="1"/>
    </w:pPr>
    <w:rPr>
      <w:sz w:val="28"/>
      <w:szCs w:val="28"/>
    </w:rPr>
  </w:style>
  <w:style w:type="paragraph" w:styleId="berschrift3">
    <w:name w:val="heading 3"/>
    <w:basedOn w:val="berschrift2"/>
    <w:next w:val="Standard0"/>
    <w:link w:val="berschrift3Zchn"/>
    <w:qFormat/>
    <w:pPr>
      <w:numPr>
        <w:ilvl w:val="2"/>
      </w:numPr>
      <w:tabs>
        <w:tab w:val="clear" w:pos="578"/>
        <w:tab w:val="left" w:pos="851"/>
      </w:tabs>
      <w:spacing w:before="360" w:after="240" w:line="270" w:lineRule="exact"/>
      <w:outlineLvl w:val="2"/>
    </w:pPr>
    <w:rPr>
      <w:iCs/>
      <w:sz w:val="20"/>
    </w:rPr>
  </w:style>
  <w:style w:type="paragraph" w:styleId="berschrift4">
    <w:name w:val="heading 4"/>
    <w:basedOn w:val="Standard"/>
    <w:next w:val="Standard0"/>
    <w:link w:val="berschrift4Zchn"/>
    <w:qFormat/>
    <w:pPr>
      <w:keepNext/>
      <w:numPr>
        <w:ilvl w:val="3"/>
        <w:numId w:val="6"/>
      </w:numPr>
      <w:tabs>
        <w:tab w:val="left" w:pos="1134"/>
      </w:tabs>
      <w:spacing w:before="360" w:after="240"/>
      <w:ind w:left="1134" w:hanging="1134"/>
      <w:outlineLvl w:val="3"/>
    </w:pPr>
    <w:rPr>
      <w:rFonts w:ascii="Segoe UI Semibold" w:hAnsi="Segoe UI Semibold"/>
      <w:bCs/>
      <w:color w:val="32466E"/>
      <w:szCs w:val="28"/>
    </w:rPr>
  </w:style>
  <w:style w:type="paragraph" w:styleId="berschrift5">
    <w:name w:val="heading 5"/>
    <w:basedOn w:val="Standard"/>
    <w:next w:val="Standard"/>
    <w:link w:val="berschrift5Zchn"/>
    <w:semiHidden/>
    <w:qFormat/>
    <w:pPr>
      <w:numPr>
        <w:ilvl w:val="4"/>
        <w:numId w:val="6"/>
      </w:numPr>
      <w:outlineLvl w:val="4"/>
    </w:pPr>
  </w:style>
  <w:style w:type="paragraph" w:styleId="berschrift6">
    <w:name w:val="heading 6"/>
    <w:basedOn w:val="Standard"/>
    <w:next w:val="Standard"/>
    <w:link w:val="berschrift6Zchn"/>
    <w:semiHidden/>
    <w:qFormat/>
    <w:pPr>
      <w:numPr>
        <w:ilvl w:val="5"/>
        <w:numId w:val="6"/>
      </w:numPr>
      <w:outlineLvl w:val="5"/>
    </w:pPr>
  </w:style>
  <w:style w:type="paragraph" w:styleId="berschrift7">
    <w:name w:val="heading 7"/>
    <w:basedOn w:val="Standard"/>
    <w:next w:val="Standard"/>
    <w:link w:val="berschrift7Zchn"/>
    <w:semiHidden/>
    <w:qFormat/>
    <w:pPr>
      <w:numPr>
        <w:ilvl w:val="6"/>
        <w:numId w:val="6"/>
      </w:numPr>
      <w:outlineLvl w:val="6"/>
    </w:pPr>
  </w:style>
  <w:style w:type="paragraph" w:styleId="berschrift8">
    <w:name w:val="heading 8"/>
    <w:basedOn w:val="Standard"/>
    <w:next w:val="Standard"/>
    <w:link w:val="berschrift8Zchn"/>
    <w:semiHidden/>
    <w:qFormat/>
    <w:pPr>
      <w:numPr>
        <w:ilvl w:val="7"/>
        <w:numId w:val="6"/>
      </w:numPr>
      <w:outlineLvl w:val="7"/>
    </w:pPr>
  </w:style>
  <w:style w:type="paragraph" w:styleId="berschrift9">
    <w:name w:val="heading 9"/>
    <w:basedOn w:val="Standard"/>
    <w:next w:val="Standard"/>
    <w:link w:val="berschrift9Zchn"/>
    <w:semiHidden/>
    <w:qFormat/>
    <w:pPr>
      <w:numPr>
        <w:ilvl w:val="8"/>
        <w:numId w:val="6"/>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0">
    <w:name w:val="Standard 0"/>
    <w:basedOn w:val="Standard"/>
    <w:next w:val="Standard"/>
    <w:link w:val="Standard0Zchn"/>
    <w:pPr>
      <w:spacing w:before="0"/>
    </w:pPr>
  </w:style>
  <w:style w:type="character" w:customStyle="1" w:styleId="berschrift1Zchn">
    <w:name w:val="Überschrift 1 Zchn"/>
    <w:basedOn w:val="Absatz-Standardschriftart"/>
    <w:link w:val="berschrift1"/>
    <w:rPr>
      <w:rFonts w:ascii="Segoe UI Semibold" w:eastAsiaTheme="majorEastAsia" w:hAnsi="Segoe UI Semibold" w:cstheme="majorBidi"/>
      <w:color w:val="32466E"/>
      <w:sz w:val="35"/>
      <w:szCs w:val="36"/>
      <w:lang w:eastAsia="en-US" w:bidi="en-US"/>
    </w:rPr>
  </w:style>
  <w:style w:type="character" w:customStyle="1" w:styleId="berschrift2Zchn">
    <w:name w:val="Überschrift 2 Zchn"/>
    <w:basedOn w:val="Absatz-Standardschriftart"/>
    <w:link w:val="berschrift2"/>
    <w:rPr>
      <w:rFonts w:ascii="Segoe UI Semibold" w:eastAsiaTheme="majorEastAsia" w:hAnsi="Segoe UI Semibold" w:cstheme="majorBidi"/>
      <w:color w:val="32466E"/>
      <w:sz w:val="28"/>
      <w:szCs w:val="28"/>
      <w:lang w:eastAsia="en-US" w:bidi="en-US"/>
    </w:rPr>
  </w:style>
  <w:style w:type="character" w:customStyle="1" w:styleId="berschrift3Zchn">
    <w:name w:val="Überschrift 3 Zchn"/>
    <w:basedOn w:val="Absatz-Standardschriftart"/>
    <w:link w:val="berschrift3"/>
    <w:rPr>
      <w:rFonts w:ascii="Segoe UI Semibold" w:eastAsiaTheme="majorEastAsia" w:hAnsi="Segoe UI Semibold" w:cstheme="majorBidi"/>
      <w:iCs/>
      <w:color w:val="32466E"/>
      <w:szCs w:val="28"/>
      <w:lang w:eastAsia="en-US" w:bidi="en-US"/>
    </w:rPr>
  </w:style>
  <w:style w:type="character" w:customStyle="1" w:styleId="berschrift4Zchn">
    <w:name w:val="Überschrift 4 Zchn"/>
    <w:basedOn w:val="Absatz-Standardschriftart"/>
    <w:link w:val="berschrift4"/>
    <w:rPr>
      <w:rFonts w:ascii="Segoe UI Semibold" w:eastAsiaTheme="majorEastAsia" w:hAnsi="Segoe UI Semibold" w:cstheme="majorBidi"/>
      <w:bCs/>
      <w:color w:val="32466E"/>
      <w:szCs w:val="28"/>
      <w:lang w:eastAsia="en-US" w:bidi="en-US"/>
    </w:rPr>
  </w:style>
  <w:style w:type="character" w:customStyle="1" w:styleId="berschrift5Zchn">
    <w:name w:val="Überschrift 5 Zchn"/>
    <w:basedOn w:val="Absatz-Standardschriftart"/>
    <w:link w:val="berschrift5"/>
    <w:semiHidden/>
    <w:rPr>
      <w:rFonts w:ascii="Segoe UI" w:eastAsiaTheme="majorEastAsia" w:hAnsi="Segoe UI" w:cstheme="majorBidi"/>
      <w:szCs w:val="22"/>
      <w:lang w:eastAsia="en-US" w:bidi="en-US"/>
    </w:rPr>
  </w:style>
  <w:style w:type="character" w:customStyle="1" w:styleId="berschrift6Zchn">
    <w:name w:val="Überschrift 6 Zchn"/>
    <w:basedOn w:val="Absatz-Standardschriftart"/>
    <w:link w:val="berschrift6"/>
    <w:semiHidden/>
    <w:rPr>
      <w:rFonts w:ascii="Segoe UI" w:eastAsiaTheme="majorEastAsia" w:hAnsi="Segoe UI" w:cstheme="majorBidi"/>
      <w:szCs w:val="22"/>
      <w:lang w:eastAsia="en-US" w:bidi="en-US"/>
    </w:rPr>
  </w:style>
  <w:style w:type="character" w:customStyle="1" w:styleId="berschrift7Zchn">
    <w:name w:val="Überschrift 7 Zchn"/>
    <w:basedOn w:val="Absatz-Standardschriftart"/>
    <w:link w:val="berschrift7"/>
    <w:semiHidden/>
    <w:rPr>
      <w:rFonts w:ascii="Segoe UI" w:eastAsiaTheme="majorEastAsia" w:hAnsi="Segoe UI" w:cstheme="majorBidi"/>
      <w:szCs w:val="22"/>
      <w:lang w:eastAsia="en-US" w:bidi="en-US"/>
    </w:rPr>
  </w:style>
  <w:style w:type="character" w:customStyle="1" w:styleId="berschrift8Zchn">
    <w:name w:val="Überschrift 8 Zchn"/>
    <w:basedOn w:val="Absatz-Standardschriftart"/>
    <w:link w:val="berschrift8"/>
    <w:semiHidden/>
    <w:rPr>
      <w:rFonts w:ascii="Segoe UI" w:eastAsiaTheme="majorEastAsia" w:hAnsi="Segoe UI" w:cstheme="majorBidi"/>
      <w:szCs w:val="22"/>
      <w:lang w:eastAsia="en-US" w:bidi="en-US"/>
    </w:rPr>
  </w:style>
  <w:style w:type="character" w:customStyle="1" w:styleId="berschrift9Zchn">
    <w:name w:val="Überschrift 9 Zchn"/>
    <w:basedOn w:val="Absatz-Standardschriftart"/>
    <w:link w:val="berschrift9"/>
    <w:semiHidden/>
    <w:rPr>
      <w:rFonts w:ascii="Segoe UI" w:eastAsiaTheme="majorEastAsia" w:hAnsi="Segoe UI" w:cstheme="majorBidi"/>
      <w:szCs w:val="22"/>
      <w:lang w:eastAsia="en-US" w:bidi="en-US"/>
    </w:rPr>
  </w:style>
  <w:style w:type="paragraph" w:styleId="Abbildungsverzeichnis">
    <w:name w:val="table of figures"/>
    <w:basedOn w:val="Standard"/>
    <w:next w:val="Standard"/>
    <w:uiPriority w:val="99"/>
    <w:unhideWhenUsed/>
    <w:pPr>
      <w:tabs>
        <w:tab w:val="right" w:leader="dot" w:pos="8505"/>
      </w:tabs>
      <w:spacing w:before="120"/>
      <w:ind w:left="1247" w:hanging="1247"/>
      <w:jc w:val="left"/>
    </w:pPr>
  </w:style>
  <w:style w:type="paragraph" w:styleId="Beschriftung">
    <w:name w:val="caption"/>
    <w:basedOn w:val="Standard"/>
    <w:next w:val="Standard"/>
    <w:unhideWhenUsed/>
    <w:qFormat/>
    <w:pPr>
      <w:keepNext/>
      <w:keepLines/>
      <w:pBdr>
        <w:bottom w:val="single" w:sz="8" w:space="6" w:color="000000" w:themeColor="text1"/>
      </w:pBdr>
      <w:suppressAutoHyphens/>
      <w:jc w:val="left"/>
    </w:pPr>
    <w:rPr>
      <w:rFonts w:cstheme="minorHAnsi"/>
      <w:bCs/>
      <w:szCs w:val="18"/>
    </w:rPr>
  </w:style>
  <w:style w:type="paragraph" w:customStyle="1" w:styleId="Beschriftung-Quelle">
    <w:name w:val="Beschriftung - Quelle"/>
    <w:basedOn w:val="Beschriftung"/>
    <w:next w:val="Standard"/>
    <w:qFormat/>
    <w:pPr>
      <w:keepNext w:val="0"/>
      <w:pBdr>
        <w:top w:val="single" w:sz="8" w:space="4" w:color="000000" w:themeColor="text1"/>
        <w:bottom w:val="none" w:sz="0" w:space="0" w:color="auto"/>
      </w:pBdr>
      <w:spacing w:before="40" w:after="40" w:line="180" w:lineRule="exact"/>
      <w:jc w:val="right"/>
    </w:pPr>
    <w:rPr>
      <w:sz w:val="17"/>
      <w:szCs w:val="14"/>
    </w:rPr>
  </w:style>
  <w:style w:type="paragraph" w:styleId="Funotentext">
    <w:name w:val="footnote text"/>
    <w:basedOn w:val="Standard"/>
    <w:link w:val="FunotentextZchn"/>
    <w:uiPriority w:val="99"/>
    <w:unhideWhenUsed/>
    <w:pPr>
      <w:spacing w:before="0" w:line="240" w:lineRule="auto"/>
      <w:ind w:left="113" w:hanging="113"/>
      <w:jc w:val="left"/>
    </w:pPr>
    <w:rPr>
      <w:sz w:val="14"/>
      <w:szCs w:val="20"/>
    </w:rPr>
  </w:style>
  <w:style w:type="character" w:customStyle="1" w:styleId="FunotentextZchn">
    <w:name w:val="Fußnotentext Zchn"/>
    <w:basedOn w:val="Absatz-Standardschriftart"/>
    <w:link w:val="Funotentext"/>
    <w:uiPriority w:val="99"/>
    <w:rPr>
      <w:rFonts w:ascii="Segoe UI" w:eastAsiaTheme="majorEastAsia" w:hAnsi="Segoe UI" w:cstheme="majorBidi"/>
      <w:sz w:val="14"/>
      <w:lang w:eastAsia="en-US" w:bidi="en-US"/>
    </w:rPr>
  </w:style>
  <w:style w:type="character" w:styleId="Funotenzeichen">
    <w:name w:val="footnote reference"/>
    <w:basedOn w:val="Absatz-Standardschriftart"/>
    <w:semiHidden/>
    <w:qFormat/>
    <w:rPr>
      <w:rFonts w:ascii="Lucida Sans Unicode" w:hAnsi="Lucida Sans Unicode"/>
      <w:sz w:val="18"/>
      <w:vertAlign w:val="superscript"/>
    </w:rPr>
  </w:style>
  <w:style w:type="paragraph" w:styleId="Fuzeile">
    <w:name w:val="footer"/>
    <w:basedOn w:val="Standard"/>
    <w:link w:val="FuzeileZchn"/>
    <w:uiPriority w:val="99"/>
    <w:pPr>
      <w:tabs>
        <w:tab w:val="right" w:pos="8505"/>
      </w:tabs>
      <w:spacing w:before="0" w:line="240" w:lineRule="auto"/>
      <w:jc w:val="left"/>
    </w:pPr>
    <w:rPr>
      <w:sz w:val="17"/>
    </w:rPr>
  </w:style>
  <w:style w:type="character" w:customStyle="1" w:styleId="FuzeileZchn">
    <w:name w:val="Fußzeile Zchn"/>
    <w:basedOn w:val="Absatz-Standardschriftart"/>
    <w:link w:val="Fuzeile"/>
    <w:uiPriority w:val="99"/>
    <w:rPr>
      <w:rFonts w:ascii="Segoe UI" w:eastAsiaTheme="majorEastAsia" w:hAnsi="Segoe UI" w:cstheme="majorBidi"/>
      <w:sz w:val="17"/>
      <w:szCs w:val="22"/>
      <w:lang w:eastAsia="en-US" w:bidi="en-US"/>
    </w:rPr>
  </w:style>
  <w:style w:type="paragraph" w:customStyle="1" w:styleId="Liste1Einzug">
    <w:name w:val="Liste 1 Einzug"/>
    <w:basedOn w:val="Standard"/>
    <w:next w:val="Standard"/>
    <w:uiPriority w:val="10"/>
    <w:qFormat/>
    <w:pPr>
      <w:tabs>
        <w:tab w:val="left" w:pos="357"/>
      </w:tabs>
      <w:spacing w:before="60"/>
      <w:ind w:left="284"/>
      <w:jc w:val="left"/>
    </w:pPr>
  </w:style>
  <w:style w:type="paragraph" w:styleId="Liste2">
    <w:name w:val="List 2"/>
    <w:basedOn w:val="Liste1"/>
    <w:uiPriority w:val="10"/>
    <w:unhideWhenUsed/>
    <w:qFormat/>
    <w:pPr>
      <w:numPr>
        <w:numId w:val="9"/>
      </w:numPr>
      <w:tabs>
        <w:tab w:val="clear" w:pos="357"/>
        <w:tab w:val="left" w:pos="567"/>
        <w:tab w:val="left" w:pos="680"/>
      </w:tabs>
      <w:ind w:left="568" w:hanging="284"/>
      <w:contextualSpacing w:val="0"/>
    </w:pPr>
  </w:style>
  <w:style w:type="paragraph" w:customStyle="1" w:styleId="Liste1">
    <w:name w:val="Liste 1"/>
    <w:basedOn w:val="Standard"/>
    <w:link w:val="Liste1Zchn"/>
    <w:autoRedefine/>
    <w:uiPriority w:val="10"/>
    <w:qFormat/>
    <w:rsid w:val="00755ABB"/>
    <w:pPr>
      <w:numPr>
        <w:numId w:val="8"/>
      </w:numPr>
      <w:tabs>
        <w:tab w:val="left" w:pos="284"/>
        <w:tab w:val="left" w:pos="357"/>
      </w:tabs>
      <w:spacing w:before="120"/>
      <w:ind w:left="284" w:hanging="284"/>
      <w:contextualSpacing/>
      <w:jc w:val="left"/>
    </w:pPr>
  </w:style>
  <w:style w:type="paragraph" w:styleId="Liste4">
    <w:name w:val="List 4"/>
    <w:basedOn w:val="Liste3"/>
    <w:uiPriority w:val="10"/>
    <w:unhideWhenUsed/>
    <w:pPr>
      <w:numPr>
        <w:numId w:val="3"/>
      </w:numPr>
      <w:tabs>
        <w:tab w:val="clear" w:pos="1072"/>
        <w:tab w:val="left" w:pos="1429"/>
      </w:tabs>
      <w:ind w:left="1135" w:hanging="284"/>
    </w:pPr>
  </w:style>
  <w:style w:type="paragraph" w:styleId="Liste3">
    <w:name w:val="List 3"/>
    <w:basedOn w:val="Standard"/>
    <w:uiPriority w:val="10"/>
    <w:unhideWhenUsed/>
    <w:qFormat/>
    <w:pPr>
      <w:numPr>
        <w:numId w:val="2"/>
      </w:numPr>
      <w:tabs>
        <w:tab w:val="left" w:pos="1072"/>
      </w:tabs>
      <w:spacing w:before="120"/>
      <w:ind w:left="851" w:hanging="284"/>
      <w:contextualSpacing/>
      <w:jc w:val="left"/>
    </w:pPr>
  </w:style>
  <w:style w:type="paragraph" w:styleId="Liste5">
    <w:name w:val="List 5"/>
    <w:basedOn w:val="Standard"/>
    <w:semiHidden/>
    <w:pPr>
      <w:spacing w:before="0"/>
      <w:ind w:left="1134" w:hanging="227"/>
    </w:pPr>
  </w:style>
  <w:style w:type="paragraph" w:customStyle="1" w:styleId="Listennummer1">
    <w:name w:val="Listennummer 1."/>
    <w:basedOn w:val="Listennummera"/>
    <w:uiPriority w:val="10"/>
    <w:qFormat/>
    <w:pPr>
      <w:numPr>
        <w:numId w:val="5"/>
      </w:numPr>
      <w:ind w:left="284" w:hanging="284"/>
    </w:pPr>
  </w:style>
  <w:style w:type="paragraph" w:customStyle="1" w:styleId="Listennummera">
    <w:name w:val="Listennummer a)"/>
    <w:basedOn w:val="Liste1"/>
    <w:uiPriority w:val="10"/>
    <w:qFormat/>
    <w:pPr>
      <w:numPr>
        <w:numId w:val="4"/>
      </w:numPr>
      <w:tabs>
        <w:tab w:val="clear" w:pos="357"/>
      </w:tabs>
      <w:spacing w:before="60"/>
      <w:ind w:left="568" w:hanging="284"/>
    </w:pPr>
  </w:style>
  <w:style w:type="paragraph" w:styleId="Listennummer5">
    <w:name w:val="List Number 5"/>
    <w:basedOn w:val="Standard"/>
    <w:autoRedefine/>
    <w:semiHidden/>
    <w:pPr>
      <w:spacing w:before="120"/>
      <w:ind w:left="1418" w:hanging="284"/>
    </w:pPr>
  </w:style>
  <w:style w:type="character" w:styleId="Seitenzahl">
    <w:name w:val="page number"/>
    <w:basedOn w:val="Absatz-Standardschriftart"/>
    <w:semiHidden/>
    <w:rPr>
      <w:rFonts w:ascii="Lucida Sans Unicode" w:hAnsi="Lucida Sans Unicode"/>
      <w:sz w:val="36"/>
      <w:szCs w:val="36"/>
    </w:rPr>
  </w:style>
  <w:style w:type="paragraph" w:customStyle="1" w:styleId="Tabelle">
    <w:name w:val="Tabelle"/>
    <w:basedOn w:val="Standard"/>
    <w:semiHidden/>
    <w:pPr>
      <w:pageBreakBefore/>
      <w:spacing w:before="0" w:after="270"/>
      <w:jc w:val="left"/>
    </w:pPr>
  </w:style>
  <w:style w:type="paragraph" w:customStyle="1" w:styleId="Tabellenkopf">
    <w:name w:val="Tabellenkopf"/>
    <w:basedOn w:val="Standard"/>
    <w:pPr>
      <w:keepNext/>
      <w:keepLines/>
      <w:spacing w:before="80" w:after="80" w:line="200" w:lineRule="exact"/>
      <w:jc w:val="center"/>
    </w:pPr>
    <w:rPr>
      <w:b/>
      <w:sz w:val="14"/>
    </w:rPr>
  </w:style>
  <w:style w:type="paragraph" w:customStyle="1" w:styleId="Tabellentext">
    <w:name w:val="Tabellentext"/>
    <w:basedOn w:val="Standard"/>
    <w:semiHidden/>
    <w:qFormat/>
    <w:pPr>
      <w:keepNext/>
      <w:keepLines/>
      <w:spacing w:before="20" w:after="20" w:line="200" w:lineRule="exact"/>
      <w:jc w:val="left"/>
    </w:pPr>
    <w:rPr>
      <w:sz w:val="14"/>
      <w:szCs w:val="14"/>
    </w:rPr>
  </w:style>
  <w:style w:type="paragraph" w:customStyle="1" w:styleId="berschrift">
    <w:name w:val="Überschrift"/>
    <w:basedOn w:val="berschrift1"/>
    <w:next w:val="Standard0"/>
    <w:qFormat/>
    <w:pPr>
      <w:numPr>
        <w:numId w:val="0"/>
      </w:numPr>
      <w:tabs>
        <w:tab w:val="clear" w:pos="431"/>
      </w:tabs>
    </w:pPr>
  </w:style>
  <w:style w:type="paragraph" w:customStyle="1" w:styleId="berschriftfett">
    <w:name w:val="Überschrift fett"/>
    <w:basedOn w:val="Standard"/>
    <w:next w:val="Standard0"/>
    <w:qFormat/>
    <w:pPr>
      <w:keepNext/>
      <w:spacing w:before="420" w:after="270"/>
      <w:jc w:val="left"/>
    </w:pPr>
    <w:rPr>
      <w:rFonts w:ascii="Segoe UI Semibold" w:hAnsi="Segoe UI Semibold"/>
      <w:color w:val="2D3D5A"/>
    </w:rPr>
  </w:style>
  <w:style w:type="paragraph" w:customStyle="1" w:styleId="berschriftkursiv">
    <w:name w:val="Überschrift kursiv"/>
    <w:basedOn w:val="Standard"/>
    <w:next w:val="Standard0"/>
    <w:qFormat/>
    <w:pPr>
      <w:keepNext/>
      <w:spacing w:before="420" w:after="270"/>
      <w:jc w:val="left"/>
    </w:pPr>
    <w:rPr>
      <w:i/>
    </w:rPr>
  </w:style>
  <w:style w:type="paragraph" w:styleId="Verzeichnis1">
    <w:name w:val="toc 1"/>
    <w:basedOn w:val="Standard"/>
    <w:next w:val="Standard"/>
    <w:autoRedefine/>
    <w:uiPriority w:val="39"/>
    <w:unhideWhenUsed/>
    <w:pPr>
      <w:tabs>
        <w:tab w:val="left" w:pos="567"/>
        <w:tab w:val="right" w:leader="dot" w:pos="8505"/>
      </w:tabs>
      <w:spacing w:before="120" w:line="240" w:lineRule="exact"/>
      <w:ind w:left="567" w:hanging="567"/>
      <w:jc w:val="left"/>
    </w:pPr>
    <w:rPr>
      <w:noProof/>
    </w:rPr>
  </w:style>
  <w:style w:type="paragraph" w:styleId="Verzeichnis2">
    <w:name w:val="toc 2"/>
    <w:basedOn w:val="Standard"/>
    <w:next w:val="Standard"/>
    <w:autoRedefine/>
    <w:uiPriority w:val="39"/>
    <w:unhideWhenUsed/>
    <w:pPr>
      <w:tabs>
        <w:tab w:val="left" w:pos="1247"/>
        <w:tab w:val="right" w:leader="dot" w:pos="8505"/>
      </w:tabs>
      <w:spacing w:before="80" w:line="180" w:lineRule="exact"/>
      <w:ind w:left="1247" w:hanging="680"/>
      <w:jc w:val="left"/>
    </w:pPr>
    <w:rPr>
      <w:noProof/>
    </w:rPr>
  </w:style>
  <w:style w:type="paragraph" w:styleId="Verzeichnis3">
    <w:name w:val="toc 3"/>
    <w:basedOn w:val="Standard"/>
    <w:next w:val="Standard"/>
    <w:autoRedefine/>
    <w:uiPriority w:val="39"/>
    <w:unhideWhenUsed/>
    <w:pPr>
      <w:tabs>
        <w:tab w:val="left" w:pos="2098"/>
        <w:tab w:val="right" w:leader="dot" w:pos="8505"/>
      </w:tabs>
      <w:spacing w:before="80" w:line="180" w:lineRule="exact"/>
      <w:ind w:left="2098" w:hanging="851"/>
      <w:contextualSpacing/>
      <w:jc w:val="left"/>
    </w:pPr>
    <w:rPr>
      <w:noProof/>
    </w:rPr>
  </w:style>
  <w:style w:type="paragraph" w:customStyle="1" w:styleId="Abkrzungsverzeichnis">
    <w:name w:val="Abkürzungsverzeichnis"/>
    <w:basedOn w:val="Standard"/>
    <w:qFormat/>
    <w:pPr>
      <w:tabs>
        <w:tab w:val="left" w:pos="1418"/>
      </w:tabs>
      <w:spacing w:before="0"/>
      <w:ind w:left="1418" w:hanging="1418"/>
      <w:contextualSpacing/>
      <w:jc w:val="left"/>
    </w:pPr>
  </w:style>
  <w:style w:type="paragraph" w:customStyle="1" w:styleId="Legende">
    <w:name w:val="Legende"/>
    <w:basedOn w:val="Beschriftung-Quelle"/>
    <w:next w:val="Beschriftung-Quelle"/>
    <w:qFormat/>
    <w:pPr>
      <w:keepNext/>
      <w:pBdr>
        <w:top w:val="none" w:sz="0" w:space="0" w:color="auto"/>
      </w:pBdr>
      <w:spacing w:before="120" w:after="0" w:line="240" w:lineRule="exact"/>
      <w:contextualSpacing/>
      <w:jc w:val="left"/>
    </w:pPr>
  </w:style>
  <w:style w:type="paragraph" w:styleId="Verzeichnis4">
    <w:name w:val="toc 4"/>
    <w:basedOn w:val="Standard"/>
    <w:next w:val="Standard"/>
    <w:autoRedefine/>
    <w:uiPriority w:val="39"/>
    <w:unhideWhenUsed/>
    <w:pPr>
      <w:tabs>
        <w:tab w:val="left" w:pos="3119"/>
        <w:tab w:val="right" w:leader="dot" w:pos="8505"/>
      </w:tabs>
      <w:spacing w:before="36" w:line="180" w:lineRule="exact"/>
      <w:ind w:left="3119" w:hanging="1021"/>
      <w:jc w:val="left"/>
    </w:pPr>
  </w:style>
  <w:style w:type="paragraph" w:customStyle="1" w:styleId="Liste2Einzug">
    <w:name w:val="Liste 2 Einzug"/>
    <w:basedOn w:val="Standard"/>
    <w:uiPriority w:val="10"/>
    <w:qFormat/>
    <w:pPr>
      <w:spacing w:before="0"/>
      <w:ind w:left="567"/>
      <w:jc w:val="left"/>
    </w:pPr>
  </w:style>
  <w:style w:type="paragraph" w:customStyle="1" w:styleId="berschriftfettkursiv">
    <w:name w:val="Überschrift fett kursiv"/>
    <w:basedOn w:val="berschriftfett"/>
    <w:next w:val="Standard0"/>
    <w:semiHidden/>
    <w:rPr>
      <w:i/>
    </w:rPr>
  </w:style>
  <w:style w:type="paragraph" w:styleId="Listenfortsetzung5">
    <w:name w:val="List Continue 5"/>
    <w:basedOn w:val="Standard"/>
    <w:semiHidden/>
    <w:pPr>
      <w:spacing w:after="120"/>
      <w:ind w:left="1415"/>
    </w:pPr>
  </w:style>
  <w:style w:type="paragraph" w:styleId="Listennummer2">
    <w:name w:val="List Number 2"/>
    <w:basedOn w:val="Standard"/>
    <w:autoRedefine/>
    <w:semiHidden/>
    <w:pPr>
      <w:spacing w:before="120"/>
      <w:ind w:left="568" w:hanging="284"/>
    </w:pPr>
  </w:style>
  <w:style w:type="paragraph" w:styleId="Listennummer3">
    <w:name w:val="List Number 3"/>
    <w:basedOn w:val="Standard"/>
    <w:autoRedefine/>
    <w:semiHidden/>
    <w:pPr>
      <w:spacing w:before="120"/>
      <w:ind w:left="851" w:hanging="284"/>
    </w:pPr>
  </w:style>
  <w:style w:type="paragraph" w:styleId="Listennummer4">
    <w:name w:val="List Number 4"/>
    <w:basedOn w:val="Standard"/>
    <w:autoRedefine/>
    <w:semiHidden/>
    <w:pPr>
      <w:spacing w:before="120"/>
      <w:ind w:left="1135" w:hanging="284"/>
    </w:pPr>
  </w:style>
  <w:style w:type="paragraph" w:styleId="Aufzhlungszeichen2">
    <w:name w:val="List Bullet 2"/>
    <w:basedOn w:val="Standard"/>
    <w:semiHidden/>
    <w:pPr>
      <w:spacing w:before="120"/>
      <w:ind w:left="454" w:hanging="227"/>
      <w:jc w:val="left"/>
    </w:pPr>
  </w:style>
  <w:style w:type="paragraph" w:styleId="Aufzhlungszeichen3">
    <w:name w:val="List Bullet 3"/>
    <w:basedOn w:val="Standard"/>
    <w:autoRedefine/>
    <w:semiHidden/>
    <w:pPr>
      <w:spacing w:before="120"/>
      <w:ind w:left="851" w:hanging="284"/>
    </w:pPr>
  </w:style>
  <w:style w:type="paragraph" w:styleId="Aufzhlungszeichen4">
    <w:name w:val="List Bullet 4"/>
    <w:basedOn w:val="Standard"/>
    <w:autoRedefine/>
    <w:semiHidden/>
    <w:pPr>
      <w:spacing w:before="120"/>
      <w:ind w:left="1135" w:hanging="284"/>
    </w:pPr>
  </w:style>
  <w:style w:type="paragraph" w:styleId="Aufzhlungszeichen5">
    <w:name w:val="List Bullet 5"/>
    <w:basedOn w:val="Standard"/>
    <w:autoRedefine/>
    <w:semiHidden/>
    <w:pPr>
      <w:spacing w:before="120"/>
      <w:ind w:left="1418" w:hanging="284"/>
    </w:pPr>
  </w:style>
  <w:style w:type="paragraph" w:customStyle="1" w:styleId="Liste3Einzug">
    <w:name w:val="Liste 3 Einzug"/>
    <w:basedOn w:val="Liste2Einzug"/>
    <w:uiPriority w:val="10"/>
    <w:qFormat/>
    <w:pPr>
      <w:ind w:left="851"/>
    </w:pPr>
  </w:style>
  <w:style w:type="paragraph" w:customStyle="1" w:styleId="Liste4Einzug">
    <w:name w:val="Liste 4 Einzug"/>
    <w:basedOn w:val="Liste4"/>
    <w:uiPriority w:val="10"/>
    <w:qFormat/>
    <w:pPr>
      <w:numPr>
        <w:numId w:val="0"/>
      </w:numPr>
      <w:ind w:left="1134"/>
    </w:pPr>
  </w:style>
  <w:style w:type="paragraph" w:customStyle="1" w:styleId="TabelleFortsetzung">
    <w:name w:val="Tabelle Fortsetzung"/>
    <w:basedOn w:val="Standard"/>
    <w:semiHidden/>
    <w:qFormat/>
    <w:pPr>
      <w:spacing w:before="60" w:line="140" w:lineRule="exact"/>
      <w:jc w:val="right"/>
    </w:pPr>
    <w:rPr>
      <w:sz w:val="12"/>
      <w:szCs w:val="12"/>
    </w:rPr>
  </w:style>
  <w:style w:type="table" w:styleId="Tabellenraster">
    <w:name w:val="Table Grid"/>
    <w:basedOn w:val="NormaleTabelle"/>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lossar">
    <w:name w:val="Glossar"/>
    <w:basedOn w:val="Tabellentext"/>
    <w:qFormat/>
    <w:pPr>
      <w:spacing w:before="60" w:line="270" w:lineRule="exact"/>
    </w:pPr>
    <w:rPr>
      <w:rFonts w:cs="Arial"/>
      <w:color w:val="000000" w:themeColor="text1"/>
      <w:sz w:val="16"/>
      <w:szCs w:val="16"/>
    </w:rPr>
  </w:style>
  <w:style w:type="paragraph" w:styleId="Listennummer">
    <w:name w:val="List Number"/>
    <w:basedOn w:val="Standard"/>
    <w:semiHidden/>
    <w:unhideWhenUsed/>
    <w:pPr>
      <w:tabs>
        <w:tab w:val="num" w:pos="360"/>
      </w:tabs>
      <w:ind w:left="360" w:hanging="360"/>
      <w:contextualSpacing/>
    </w:pPr>
  </w:style>
  <w:style w:type="paragraph" w:styleId="Sprechblasentext">
    <w:name w:val="Balloon Text"/>
    <w:basedOn w:val="Standard"/>
    <w:link w:val="SprechblasentextZchn"/>
    <w:uiPriority w:val="99"/>
    <w:semiHidden/>
    <w:unhideWhenUsed/>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heme="majorEastAsia" w:hAnsi="Tahoma" w:cs="Tahoma"/>
      <w:sz w:val="16"/>
      <w:szCs w:val="16"/>
      <w:lang w:eastAsia="en-US" w:bidi="en-US"/>
    </w:rPr>
  </w:style>
  <w:style w:type="character" w:customStyle="1" w:styleId="TextkrperZchn">
    <w:name w:val="Textkörper Zchn"/>
    <w:basedOn w:val="Absatz-Standardschriftart"/>
    <w:link w:val="Textkrper"/>
    <w:semiHidden/>
    <w:rPr>
      <w:rFonts w:ascii="Arial" w:hAnsi="Arial"/>
      <w:b/>
      <w:bCs/>
      <w:caps/>
      <w:sz w:val="52"/>
      <w:lang w:eastAsia="de-DE"/>
    </w:rPr>
  </w:style>
  <w:style w:type="paragraph" w:styleId="Textkrper">
    <w:name w:val="Body Text"/>
    <w:basedOn w:val="Standard"/>
    <w:link w:val="TextkrperZchn"/>
    <w:semiHidden/>
    <w:pPr>
      <w:overflowPunct w:val="0"/>
      <w:autoSpaceDE w:val="0"/>
      <w:autoSpaceDN w:val="0"/>
      <w:adjustRightInd w:val="0"/>
      <w:spacing w:before="1800" w:line="276" w:lineRule="auto"/>
      <w:textAlignment w:val="baseline"/>
    </w:pPr>
    <w:rPr>
      <w:rFonts w:ascii="Arial" w:eastAsia="Times New Roman" w:hAnsi="Arial" w:cs="Times New Roman"/>
      <w:b/>
      <w:bCs/>
      <w:caps/>
      <w:sz w:val="52"/>
      <w:szCs w:val="20"/>
      <w:lang w:eastAsia="de-DE" w:bidi="ar-SA"/>
    </w:rPr>
  </w:style>
  <w:style w:type="paragraph" w:styleId="Standardeinzug">
    <w:name w:val="Normal Indent"/>
    <w:basedOn w:val="Standard"/>
    <w:next w:val="Standard"/>
    <w:semiHidden/>
    <w:pPr>
      <w:pBdr>
        <w:top w:val="single" w:sz="4" w:space="4" w:color="auto"/>
        <w:left w:val="single" w:sz="4" w:space="4" w:color="auto"/>
        <w:bottom w:val="single" w:sz="4" w:space="4" w:color="auto"/>
        <w:right w:val="single" w:sz="4" w:space="4" w:color="auto"/>
      </w:pBdr>
      <w:overflowPunct w:val="0"/>
      <w:autoSpaceDE w:val="0"/>
      <w:autoSpaceDN w:val="0"/>
      <w:adjustRightInd w:val="0"/>
      <w:ind w:left="113" w:right="113"/>
      <w:textAlignment w:val="baseline"/>
    </w:pPr>
    <w:rPr>
      <w:rFonts w:eastAsia="Times New Roman" w:cs="Times New Roman"/>
      <w:szCs w:val="20"/>
      <w:lang w:eastAsia="de-DE" w:bidi="ar-SA"/>
    </w:rPr>
  </w:style>
  <w:style w:type="character" w:customStyle="1" w:styleId="KommentartextZchn">
    <w:name w:val="Kommentartext Zchn"/>
    <w:basedOn w:val="Absatz-Standardschriftart"/>
    <w:link w:val="Kommentartext"/>
    <w:uiPriority w:val="99"/>
    <w:rPr>
      <w:rFonts w:ascii="Arial" w:hAnsi="Arial"/>
      <w:lang w:eastAsia="de-DE"/>
    </w:rPr>
  </w:style>
  <w:style w:type="paragraph" w:styleId="Kommentartext">
    <w:name w:val="annotation text"/>
    <w:basedOn w:val="Standard"/>
    <w:link w:val="KommentartextZchn"/>
    <w:uiPriority w:val="99"/>
    <w:unhideWhenUsed/>
    <w:pPr>
      <w:overflowPunct w:val="0"/>
      <w:autoSpaceDE w:val="0"/>
      <w:autoSpaceDN w:val="0"/>
      <w:adjustRightInd w:val="0"/>
      <w:spacing w:before="240" w:line="252" w:lineRule="auto"/>
      <w:textAlignment w:val="baseline"/>
    </w:pPr>
    <w:rPr>
      <w:rFonts w:ascii="Arial" w:eastAsia="Times New Roman" w:hAnsi="Arial" w:cs="Times New Roman"/>
      <w:szCs w:val="20"/>
      <w:lang w:eastAsia="de-DE" w:bidi="ar-SA"/>
    </w:rPr>
  </w:style>
  <w:style w:type="paragraph" w:customStyle="1" w:styleId="Listennummer10">
    <w:name w:val="Listennummer (1)"/>
    <w:basedOn w:val="Listennummer1"/>
    <w:semiHidden/>
    <w:qFormat/>
    <w:pPr>
      <w:numPr>
        <w:numId w:val="0"/>
      </w:numPr>
      <w:tabs>
        <w:tab w:val="left" w:pos="680"/>
      </w:tabs>
      <w:spacing w:before="0" w:line="240" w:lineRule="auto"/>
      <w:ind w:left="681" w:hanging="397"/>
    </w:pPr>
    <w:rPr>
      <w:rFonts w:ascii="Arial" w:eastAsia="Times New Roman" w:hAnsi="Arial" w:cs="Times New Roman"/>
      <w:szCs w:val="20"/>
      <w:lang w:eastAsia="de-DE" w:bidi="ar-SA"/>
    </w:rPr>
  </w:style>
  <w:style w:type="paragraph" w:customStyle="1" w:styleId="Literatur">
    <w:name w:val="Literatur"/>
    <w:basedOn w:val="Standard"/>
    <w:uiPriority w:val="15"/>
    <w:qFormat/>
    <w:pPr>
      <w:tabs>
        <w:tab w:val="left" w:pos="357"/>
      </w:tabs>
      <w:ind w:left="357" w:hanging="357"/>
      <w:jc w:val="left"/>
    </w:pPr>
    <w:rPr>
      <w:rFonts w:cs="Arial"/>
      <w:bCs/>
      <w:color w:val="000000" w:themeColor="text1"/>
      <w:lang w:eastAsia="de-AT"/>
    </w:rPr>
  </w:style>
  <w:style w:type="table" w:customStyle="1" w:styleId="HelleListe-Akzent11">
    <w:name w:val="Helle Liste - Akzent 11"/>
    <w:basedOn w:val="NormaleTabelle"/>
    <w:uiPriority w:val="61"/>
    <w:rPr>
      <w:rFonts w:ascii="Lucida Sans Unicode" w:eastAsiaTheme="majorEastAsia" w:hAnsi="Lucida Sans Unicode" w:cstheme="majorBidi"/>
      <w:sz w:val="14"/>
      <w:szCs w:val="22"/>
      <w:lang w:val="en-US" w:eastAsia="en-US" w:bidi="en-US"/>
    </w:rPr>
    <w:tblPr>
      <w:tblStyleRowBandSize w:val="1"/>
      <w:tblStyleColBandSize w:val="1"/>
    </w:tblPr>
    <w:tcPr>
      <w:shd w:val="clear" w:color="auto" w:fill="auto"/>
    </w:tcPr>
    <w:tblStylePr w:type="firstRow">
      <w:pPr>
        <w:spacing w:before="0" w:after="0" w:line="240" w:lineRule="auto"/>
      </w:pPr>
      <w:rPr>
        <w:rFonts w:ascii="Lucida Sans Unicode" w:hAnsi="Lucida Sans Unicode"/>
        <w:b/>
        <w:bCs/>
        <w:color w:val="000000" w:themeColor="text1"/>
        <w:sz w:val="14"/>
      </w:rPr>
      <w:tblPr/>
      <w:tcPr>
        <w:tcBorders>
          <w:top w:val="nil"/>
          <w:left w:val="nil"/>
          <w:bottom w:val="single" w:sz="8" w:space="0" w:color="888888"/>
          <w:right w:val="nil"/>
          <w:insideH w:val="nil"/>
          <w:insideV w:val="dotted" w:sz="2" w:space="0" w:color="666666"/>
          <w:tl2br w:val="nil"/>
          <w:tr2bl w:val="nil"/>
        </w:tcBorders>
        <w:shd w:val="clear" w:color="auto" w:fill="auto"/>
      </w:tcPr>
    </w:tblStylePr>
    <w:tblStylePr w:type="lastRow">
      <w:pPr>
        <w:spacing w:before="0" w:after="0" w:line="240" w:lineRule="auto"/>
      </w:pPr>
      <w:rPr>
        <w:rFonts w:ascii="Lucida Sans Unicode" w:hAnsi="Lucida Sans Unicode"/>
        <w:b w:val="0"/>
        <w:bCs/>
        <w:sz w:val="14"/>
      </w:rPr>
      <w:tblPr/>
      <w:tcPr>
        <w:tcBorders>
          <w:top w:val="nil"/>
          <w:left w:val="nil"/>
          <w:bottom w:val="nil"/>
          <w:right w:val="nil"/>
          <w:insideH w:val="nil"/>
          <w:insideV w:val="nil"/>
          <w:tl2br w:val="nil"/>
          <w:tr2bl w:val="nil"/>
        </w:tcBorders>
        <w:shd w:val="clear" w:color="auto" w:fill="auto"/>
      </w:tcPr>
    </w:tblStylePr>
    <w:tblStylePr w:type="firstCol">
      <w:rPr>
        <w:rFonts w:ascii="Lucida Sans Unicode" w:hAnsi="Lucida Sans Unicode"/>
        <w:b w:val="0"/>
        <w:bCs/>
        <w:color w:val="000000" w:themeColor="text1"/>
        <w:sz w:val="14"/>
      </w:rPr>
      <w:tblPr/>
      <w:tcPr>
        <w:shd w:val="clear" w:color="auto" w:fill="FFFFFF" w:themeFill="background1"/>
      </w:tcPr>
    </w:tblStylePr>
    <w:tblStylePr w:type="lastCol">
      <w:rPr>
        <w:b/>
        <w:bCs/>
      </w:rPr>
    </w:tblStylePr>
    <w:tblStylePr w:type="band1Vert">
      <w:tblPr/>
      <w:tcPr>
        <w:tcBorders>
          <w:top w:val="single" w:sz="8" w:space="0" w:color="32466E" w:themeColor="accent1"/>
          <w:left w:val="single" w:sz="8" w:space="0" w:color="32466E" w:themeColor="accent1"/>
          <w:bottom w:val="single" w:sz="8" w:space="0" w:color="32466E" w:themeColor="accent1"/>
          <w:right w:val="single" w:sz="8" w:space="0" w:color="32466E" w:themeColor="accent1"/>
        </w:tcBorders>
      </w:tcPr>
    </w:tblStylePr>
    <w:tblStylePr w:type="band1Horz">
      <w:rPr>
        <w:rFonts w:ascii="Lucida Sans Unicode" w:hAnsi="Lucida Sans Unicode"/>
        <w:b w:val="0"/>
        <w:i w:val="0"/>
        <w:caps w:val="0"/>
        <w:smallCaps w:val="0"/>
        <w:strike w:val="0"/>
        <w:dstrike w:val="0"/>
        <w:vanish w:val="0"/>
        <w:color w:val="000000" w:themeColor="text1"/>
        <w:kern w:val="0"/>
        <w:sz w:val="14"/>
        <w:vertAlign w:val="baseline"/>
      </w:rPr>
      <w:tblPr/>
      <w:tcPr>
        <w:tcBorders>
          <w:top w:val="single" w:sz="8" w:space="0" w:color="888888"/>
          <w:left w:val="nil"/>
          <w:bottom w:val="single" w:sz="8" w:space="0" w:color="888888"/>
          <w:right w:val="nil"/>
          <w:insideH w:val="nil"/>
          <w:insideV w:val="dotted" w:sz="2" w:space="0" w:color="666666"/>
          <w:tl2br w:val="nil"/>
          <w:tr2bl w:val="nil"/>
        </w:tcBorders>
        <w:shd w:val="clear" w:color="auto" w:fill="EAEAEA"/>
      </w:tcPr>
    </w:tblStylePr>
    <w:tblStylePr w:type="band2Horz">
      <w:rPr>
        <w:rFonts w:ascii="Lucida Sans Unicode" w:hAnsi="Lucida Sans Unicode"/>
        <w:sz w:val="14"/>
      </w:rPr>
      <w:tblPr/>
      <w:tcPr>
        <w:tcBorders>
          <w:top w:val="single" w:sz="8" w:space="0" w:color="888888"/>
          <w:left w:val="nil"/>
          <w:bottom w:val="single" w:sz="8" w:space="0" w:color="888888"/>
          <w:right w:val="nil"/>
          <w:insideH w:val="nil"/>
          <w:insideV w:val="dotted" w:sz="2" w:space="0" w:color="666666"/>
          <w:tl2br w:val="nil"/>
          <w:tr2bl w:val="nil"/>
        </w:tcBorders>
        <w:shd w:val="clear" w:color="auto" w:fill="auto"/>
      </w:tcPr>
    </w:tblStylePr>
  </w:style>
  <w:style w:type="table" w:customStyle="1" w:styleId="HelleSchattierung-Akzent11">
    <w:name w:val="Helle Schattierung - Akzent 11"/>
    <w:basedOn w:val="NormaleTabelle"/>
    <w:uiPriority w:val="60"/>
    <w:rPr>
      <w:rFonts w:ascii="Lucida Sans Unicode" w:hAnsi="Lucida Sans Unicode"/>
      <w:color w:val="000000" w:themeColor="text1"/>
      <w:sz w:val="14"/>
    </w:rPr>
    <w:tblPr>
      <w:tblStyleRowBandSize w:val="1"/>
      <w:tblStyleColBandSize w:val="1"/>
      <w:tblBorders>
        <w:top w:val="single" w:sz="8" w:space="0" w:color="32466E" w:themeColor="accent1"/>
        <w:bottom w:val="single" w:sz="8" w:space="0" w:color="32466E" w:themeColor="accent1"/>
      </w:tblBorders>
    </w:tblPr>
    <w:tcPr>
      <w:shd w:val="clear" w:color="auto" w:fill="auto"/>
    </w:tcPr>
    <w:tblStylePr w:type="firstRow">
      <w:pPr>
        <w:spacing w:before="0" w:after="0" w:line="240" w:lineRule="auto"/>
      </w:pPr>
      <w:rPr>
        <w:b/>
        <w:bCs/>
      </w:rPr>
      <w:tblPr/>
      <w:tcPr>
        <w:tcBorders>
          <w:top w:val="single" w:sz="8" w:space="0" w:color="32466E" w:themeColor="accent1"/>
          <w:left w:val="nil"/>
          <w:bottom w:val="single" w:sz="8" w:space="0" w:color="32466E" w:themeColor="accent1"/>
          <w:right w:val="nil"/>
          <w:insideH w:val="nil"/>
          <w:insideV w:val="nil"/>
        </w:tcBorders>
      </w:tcPr>
    </w:tblStylePr>
    <w:tblStylePr w:type="lastRow">
      <w:pPr>
        <w:spacing w:before="0" w:after="0" w:line="240" w:lineRule="auto"/>
      </w:pPr>
      <w:rPr>
        <w:b/>
        <w:bCs/>
      </w:rPr>
      <w:tblPr/>
      <w:tcPr>
        <w:tcBorders>
          <w:top w:val="single" w:sz="8" w:space="0" w:color="32466E" w:themeColor="accent1"/>
          <w:left w:val="nil"/>
          <w:bottom w:val="single" w:sz="8" w:space="0" w:color="3246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EE4" w:themeFill="accent1" w:themeFillTint="3F"/>
      </w:tcPr>
    </w:tblStylePr>
    <w:tblStylePr w:type="band1Horz">
      <w:tblPr/>
      <w:tcPr>
        <w:tcBorders>
          <w:left w:val="nil"/>
          <w:right w:val="nil"/>
          <w:insideH w:val="nil"/>
          <w:insideV w:val="nil"/>
        </w:tcBorders>
        <w:shd w:val="clear" w:color="auto" w:fill="C3CEE4" w:themeFill="accent1" w:themeFillTint="3F"/>
      </w:tcPr>
    </w:tblStylePr>
    <w:tblStylePr w:type="band2Horz">
      <w:tblPr/>
      <w:tcPr>
        <w:shd w:val="clear" w:color="auto" w:fill="EAEAEA"/>
      </w:tcPr>
    </w:tblStylePr>
  </w:style>
  <w:style w:type="table" w:customStyle="1" w:styleId="GG">
    <w:name w:val="GÖG"/>
    <w:basedOn w:val="NormaleTabelle"/>
    <w:uiPriority w:val="99"/>
    <w:qFormat/>
    <w:rPr>
      <w:rFonts w:ascii="Lucida Sans Unicode" w:hAnsi="Lucida Sans Unicode"/>
      <w:color w:val="000000" w:themeColor="text1"/>
      <w:sz w:val="14"/>
    </w:rPr>
    <w:tblPr>
      <w:tblStyleRowBandSize w:val="1"/>
      <w:tblBorders>
        <w:insideV w:val="dotted" w:sz="2" w:space="0" w:color="666666"/>
      </w:tblBorders>
    </w:tblPr>
    <w:tblStylePr w:type="firstRow">
      <w:rPr>
        <w:rFonts w:ascii="Lucida Sans Unicode" w:hAnsi="Lucida Sans Unicode"/>
        <w:b/>
        <w:sz w:val="14"/>
      </w:rPr>
      <w:tblPr/>
      <w:tcPr>
        <w:tcBorders>
          <w:bottom w:val="single" w:sz="8" w:space="0" w:color="888888"/>
        </w:tcBorders>
      </w:tcPr>
    </w:tblStylePr>
    <w:tblStylePr w:type="band1Horz">
      <w:rPr>
        <w:rFonts w:ascii="Lucida Sans Unicode" w:hAnsi="Lucida Sans Unicode"/>
        <w:color w:val="000000" w:themeColor="text1"/>
        <w:sz w:val="14"/>
      </w:rPr>
      <w:tblPr/>
      <w:tcPr>
        <w:tcBorders>
          <w:bottom w:val="single" w:sz="8" w:space="0" w:color="888888"/>
        </w:tcBorders>
        <w:shd w:val="clear" w:color="auto" w:fill="EAEAEA"/>
      </w:tcPr>
    </w:tblStylePr>
    <w:tblStylePr w:type="band2Horz">
      <w:rPr>
        <w:rFonts w:ascii="Lucida Sans Unicode" w:hAnsi="Lucida Sans Unicode"/>
        <w:sz w:val="14"/>
      </w:rPr>
      <w:tblPr/>
      <w:tcPr>
        <w:tcBorders>
          <w:bottom w:val="single" w:sz="8" w:space="0" w:color="888888"/>
        </w:tcBorders>
      </w:tcPr>
    </w:tblStylePr>
  </w:style>
  <w:style w:type="table" w:styleId="HelleSchattierung-Akzent4">
    <w:name w:val="Light Shading Accent 4"/>
    <w:basedOn w:val="NormaleTabelle"/>
    <w:uiPriority w:val="60"/>
    <w:rPr>
      <w:color w:val="A08610" w:themeColor="accent4" w:themeShade="BF"/>
    </w:rPr>
    <w:tblPr>
      <w:tblStyleRowBandSize w:val="1"/>
      <w:tblStyleColBandSize w:val="1"/>
      <w:tblBorders>
        <w:top w:val="single" w:sz="8" w:space="0" w:color="D7B416" w:themeColor="accent4"/>
        <w:bottom w:val="single" w:sz="8" w:space="0" w:color="D7B416" w:themeColor="accent4"/>
      </w:tblBorders>
    </w:tblPr>
    <w:tblStylePr w:type="firstRow">
      <w:pPr>
        <w:spacing w:before="0" w:after="0" w:line="240" w:lineRule="auto"/>
      </w:pPr>
      <w:rPr>
        <w:b/>
        <w:bCs/>
      </w:rPr>
      <w:tblPr/>
      <w:tcPr>
        <w:tcBorders>
          <w:top w:val="single" w:sz="8" w:space="0" w:color="D7B416" w:themeColor="accent4"/>
          <w:left w:val="nil"/>
          <w:bottom w:val="single" w:sz="8" w:space="0" w:color="D7B416" w:themeColor="accent4"/>
          <w:right w:val="nil"/>
          <w:insideH w:val="nil"/>
          <w:insideV w:val="nil"/>
        </w:tcBorders>
      </w:tcPr>
    </w:tblStylePr>
    <w:tblStylePr w:type="lastRow">
      <w:pPr>
        <w:spacing w:before="0" w:after="0" w:line="240" w:lineRule="auto"/>
      </w:pPr>
      <w:rPr>
        <w:b/>
        <w:bCs/>
      </w:rPr>
      <w:tblPr/>
      <w:tcPr>
        <w:tcBorders>
          <w:top w:val="single" w:sz="8" w:space="0" w:color="D7B416" w:themeColor="accent4"/>
          <w:left w:val="nil"/>
          <w:bottom w:val="single" w:sz="8" w:space="0" w:color="D7B41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EC1" w:themeFill="accent4" w:themeFillTint="3F"/>
      </w:tcPr>
    </w:tblStylePr>
    <w:tblStylePr w:type="band1Horz">
      <w:tblPr/>
      <w:tcPr>
        <w:tcBorders>
          <w:left w:val="nil"/>
          <w:right w:val="nil"/>
          <w:insideH w:val="nil"/>
          <w:insideV w:val="nil"/>
        </w:tcBorders>
        <w:shd w:val="clear" w:color="auto" w:fill="F8EEC1" w:themeFill="accent4" w:themeFillTint="3F"/>
      </w:tcPr>
    </w:tblStylePr>
  </w:style>
  <w:style w:type="table" w:customStyle="1" w:styleId="HelleSchattierung1">
    <w:name w:val="Helle Schattierung1"/>
    <w:basedOn w:val="NormaleTabelle"/>
    <w:uiPriority w:val="60"/>
    <w:rPr>
      <w:rFonts w:ascii="Lucida Sans Unicode" w:hAnsi="Lucida Sans Unicode"/>
      <w:color w:val="000000" w:themeColor="text1" w:themeShade="BF"/>
      <w:sz w:val="14"/>
    </w:rPr>
    <w:tblPr>
      <w:tblStyleRowBandSize w:val="1"/>
      <w:tblStyleColBandSize w:val="1"/>
      <w:tblBorders>
        <w:top w:val="single" w:sz="8" w:space="0" w:color="000000" w:themeColor="text1"/>
        <w:bottom w:val="single" w:sz="8" w:space="0" w:color="000000" w:themeColor="text1"/>
        <w:insideV w:val="dotted" w:sz="2" w:space="0" w:color="666666"/>
      </w:tblBorders>
    </w:tblPr>
    <w:tblStylePr w:type="firstRow">
      <w:pPr>
        <w:spacing w:before="0" w:after="0" w:line="240" w:lineRule="auto"/>
      </w:pPr>
      <w:rPr>
        <w:b/>
        <w:bCs/>
      </w:rPr>
      <w:tblPr/>
      <w:tcPr>
        <w:tcBorders>
          <w:top w:val="nil"/>
          <w:left w:val="nil"/>
          <w:bottom w:val="single" w:sz="8" w:space="0" w:color="000000" w:themeColor="text1"/>
          <w:right w:val="nil"/>
          <w:insideH w:val="nil"/>
          <w:insideV w:val="dotted" w:sz="2" w:space="0" w:color="666666"/>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EAEAEA"/>
      </w:tcPr>
    </w:tblStylePr>
  </w:style>
  <w:style w:type="paragraph" w:customStyle="1" w:styleId="HervorhebungBalken">
    <w:name w:val="Hervorhebung Balken"/>
    <w:basedOn w:val="Standard"/>
    <w:next w:val="Standard"/>
    <w:uiPriority w:val="14"/>
    <w:qFormat/>
    <w:pPr>
      <w:pBdr>
        <w:top w:val="single" w:sz="8" w:space="6" w:color="32466E"/>
        <w:bottom w:val="single" w:sz="8" w:space="6" w:color="32466E"/>
      </w:pBdr>
    </w:pPr>
  </w:style>
  <w:style w:type="paragraph" w:customStyle="1" w:styleId="Hervorhebungunterlegt">
    <w:name w:val="Hervorhebung unterlegt"/>
    <w:basedOn w:val="Standard"/>
    <w:next w:val="Standard"/>
    <w:qFormat/>
    <w:pPr>
      <w:shd w:val="clear" w:color="auto" w:fill="EFF0F3"/>
    </w:pPr>
  </w:style>
  <w:style w:type="character" w:styleId="BesuchterLink">
    <w:name w:val="FollowedHyperlink"/>
    <w:basedOn w:val="Absatz-Standardschriftart"/>
    <w:uiPriority w:val="99"/>
    <w:semiHidden/>
    <w:unhideWhenUsed/>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before="270" w:line="240" w:lineRule="auto"/>
      <w:textAlignment w:val="auto"/>
    </w:pPr>
    <w:rPr>
      <w:rFonts w:ascii="Lucida Sans Unicode" w:eastAsiaTheme="majorEastAsia" w:hAnsi="Lucida Sans Unicode" w:cstheme="majorBidi"/>
      <w:b/>
      <w:bCs/>
      <w:lang w:eastAsia="en-US" w:bidi="en-US"/>
    </w:rPr>
  </w:style>
  <w:style w:type="character" w:customStyle="1" w:styleId="KommentarthemaZchn">
    <w:name w:val="Kommentarthema Zchn"/>
    <w:basedOn w:val="KommentartextZchn"/>
    <w:link w:val="Kommentarthema"/>
    <w:uiPriority w:val="99"/>
    <w:semiHidden/>
    <w:rPr>
      <w:rFonts w:ascii="Lucida Sans Unicode" w:eastAsiaTheme="majorEastAsia" w:hAnsi="Lucida Sans Unicode" w:cstheme="majorBidi"/>
      <w:b/>
      <w:bCs/>
      <w:lang w:eastAsia="en-US" w:bidi="en-US"/>
    </w:rPr>
  </w:style>
  <w:style w:type="paragraph" w:styleId="Inhaltsverzeichnisberschrift">
    <w:name w:val="TOC Heading"/>
    <w:basedOn w:val="berschrift1"/>
    <w:next w:val="Standard"/>
    <w:uiPriority w:val="39"/>
    <w:unhideWhenUsed/>
    <w:qFormat/>
    <w:pPr>
      <w:keepLines/>
      <w:pageBreakBefore w:val="0"/>
      <w:numPr>
        <w:numId w:val="0"/>
      </w:numPr>
      <w:tabs>
        <w:tab w:val="clear" w:pos="431"/>
      </w:tabs>
      <w:spacing w:before="480" w:after="0"/>
      <w:outlineLvl w:val="9"/>
    </w:pPr>
    <w:rPr>
      <w:rFonts w:asciiTheme="majorHAnsi" w:hAnsiTheme="majorHAnsi"/>
      <w:b/>
      <w:bCs/>
      <w:color w:val="253452" w:themeColor="accent1" w:themeShade="BF"/>
      <w:sz w:val="28"/>
      <w:szCs w:val="28"/>
      <w:lang w:val="de-DE" w:bidi="ar-SA"/>
    </w:rPr>
  </w:style>
  <w:style w:type="character" w:styleId="Kommentarzeichen">
    <w:name w:val="annotation reference"/>
    <w:basedOn w:val="Absatz-Standardschriftart"/>
    <w:uiPriority w:val="99"/>
    <w:semiHidden/>
    <w:unhideWhenUsed/>
    <w:rPr>
      <w:sz w:val="16"/>
      <w:szCs w:val="16"/>
    </w:rPr>
  </w:style>
  <w:style w:type="character" w:customStyle="1" w:styleId="KommentartextZchn1">
    <w:name w:val="Kommentartext Zchn1"/>
    <w:basedOn w:val="Absatz-Standardschriftart"/>
    <w:uiPriority w:val="99"/>
    <w:semiHidden/>
    <w:locked/>
    <w:rPr>
      <w:rFonts w:ascii="Arial" w:hAnsi="Arial"/>
      <w:lang w:eastAsia="de-DE"/>
    </w:rPr>
  </w:style>
  <w:style w:type="paragraph" w:customStyle="1" w:styleId="berschriftAnhang">
    <w:name w:val="Überschrift Anhang"/>
    <w:basedOn w:val="berschrift"/>
    <w:pPr>
      <w:pBdr>
        <w:bottom w:val="single" w:sz="18" w:space="6" w:color="888888"/>
      </w:pBdr>
    </w:pPr>
  </w:style>
  <w:style w:type="paragraph" w:customStyle="1" w:styleId="SchmutztitelTitel">
    <w:name w:val="Schmutztitel_Titel"/>
    <w:basedOn w:val="Standard"/>
    <w:link w:val="SchmutztitelTitelZchn"/>
    <w:uiPriority w:val="49"/>
    <w:qFormat/>
    <w:pPr>
      <w:tabs>
        <w:tab w:val="left" w:pos="2442"/>
      </w:tabs>
      <w:spacing w:before="0" w:line="560" w:lineRule="exact"/>
      <w:jc w:val="left"/>
    </w:pPr>
    <w:rPr>
      <w:color w:val="32466E"/>
      <w:sz w:val="48"/>
    </w:rPr>
  </w:style>
  <w:style w:type="paragraph" w:customStyle="1" w:styleId="SchmutztitelAutoren">
    <w:name w:val="Schmutztitel_Autoren"/>
    <w:basedOn w:val="SchmutztitelTitel"/>
    <w:uiPriority w:val="49"/>
    <w:qFormat/>
    <w:pPr>
      <w:spacing w:before="120" w:line="270" w:lineRule="exact"/>
      <w:contextualSpacing/>
    </w:pPr>
    <w:rPr>
      <w:color w:val="auto"/>
      <w:sz w:val="18"/>
    </w:rPr>
  </w:style>
  <w:style w:type="paragraph" w:customStyle="1" w:styleId="DeckblattTitel">
    <w:name w:val="Deckblatt Titel"/>
    <w:basedOn w:val="Standard"/>
    <w:next w:val="DeckblattBerichtsart"/>
    <w:uiPriority w:val="15"/>
    <w:qFormat/>
    <w:pPr>
      <w:pageBreakBefore/>
      <w:spacing w:before="0" w:line="560" w:lineRule="exact"/>
      <w:jc w:val="left"/>
    </w:pPr>
    <w:rPr>
      <w:rFonts w:ascii="Segoe UI Semibold" w:hAnsi="Segoe UI Semibold"/>
      <w:color w:val="32466E"/>
      <w:sz w:val="48"/>
    </w:rPr>
  </w:style>
  <w:style w:type="paragraph" w:customStyle="1" w:styleId="DeckblattBerichtsart">
    <w:name w:val="Deckblatt Berichtsart"/>
    <w:basedOn w:val="Standard"/>
    <w:uiPriority w:val="15"/>
    <w:qFormat/>
    <w:pPr>
      <w:pBdr>
        <w:bottom w:val="single" w:sz="18" w:space="18" w:color="32466E"/>
      </w:pBdr>
      <w:spacing w:before="720" w:line="460" w:lineRule="exact"/>
      <w:jc w:val="left"/>
    </w:pPr>
    <w:rPr>
      <w:sz w:val="32"/>
    </w:rPr>
  </w:style>
  <w:style w:type="paragraph" w:customStyle="1" w:styleId="SchmutztitelOrtundDatum">
    <w:name w:val="Schmutztitel_Ort und Datum"/>
    <w:basedOn w:val="SchmutztitelAutoren"/>
    <w:next w:val="SchmutztitelAuftraggeber"/>
    <w:uiPriority w:val="49"/>
    <w:qFormat/>
    <w:pPr>
      <w:spacing w:before="2400"/>
      <w:contextualSpacing w:val="0"/>
    </w:pPr>
  </w:style>
  <w:style w:type="paragraph" w:customStyle="1" w:styleId="SchmutztitelAuftraggeber">
    <w:name w:val="Schmutztitel_Auftraggeber"/>
    <w:basedOn w:val="SchmutztitelOrtundDatum"/>
    <w:qFormat/>
    <w:pPr>
      <w:spacing w:before="0"/>
    </w:pPr>
  </w:style>
  <w:style w:type="paragraph" w:customStyle="1" w:styleId="Schmutztitel1Untertitel">
    <w:name w:val="Schmutztitel_1. Untertitel"/>
    <w:basedOn w:val="SchmutztitelTitel"/>
    <w:next w:val="Standard"/>
    <w:link w:val="Schmutztitel1UntertitelZchn"/>
    <w:uiPriority w:val="49"/>
    <w:qFormat/>
    <w:pPr>
      <w:spacing w:before="720" w:line="460" w:lineRule="exact"/>
      <w:contextualSpacing/>
    </w:pPr>
    <w:rPr>
      <w:sz w:val="32"/>
      <w:szCs w:val="18"/>
    </w:rPr>
  </w:style>
  <w:style w:type="character" w:customStyle="1" w:styleId="SchmutztitelTitelZchn">
    <w:name w:val="Schmutztitel_Titel Zchn"/>
    <w:basedOn w:val="Absatz-Standardschriftart"/>
    <w:link w:val="SchmutztitelTitel"/>
    <w:uiPriority w:val="49"/>
    <w:rPr>
      <w:rFonts w:ascii="Segoe UI" w:eastAsiaTheme="majorEastAsia" w:hAnsi="Segoe UI" w:cstheme="majorBidi"/>
      <w:color w:val="32466E"/>
      <w:sz w:val="48"/>
      <w:szCs w:val="22"/>
      <w:lang w:eastAsia="en-US" w:bidi="en-US"/>
    </w:rPr>
  </w:style>
  <w:style w:type="character" w:customStyle="1" w:styleId="Schmutztitel1UntertitelZchn">
    <w:name w:val="Schmutztitel_1. Untertitel Zchn"/>
    <w:basedOn w:val="SchmutztitelTitelZchn"/>
    <w:link w:val="Schmutztitel1Untertitel"/>
    <w:uiPriority w:val="49"/>
    <w:rPr>
      <w:rFonts w:ascii="Segoe UI" w:eastAsiaTheme="majorEastAsia" w:hAnsi="Segoe UI" w:cstheme="majorBidi"/>
      <w:color w:val="000000" w:themeColor="text1"/>
      <w:sz w:val="32"/>
      <w:szCs w:val="18"/>
      <w:lang w:eastAsia="en-US" w:bidi="en-US"/>
    </w:rPr>
  </w:style>
  <w:style w:type="paragraph" w:customStyle="1" w:styleId="SchmutztitelHinweis">
    <w:name w:val="Schmutztitel_Hinweis"/>
    <w:basedOn w:val="Standard"/>
    <w:link w:val="SchmutztitelHinweisZchn"/>
    <w:uiPriority w:val="49"/>
    <w:qFormat/>
    <w:pPr>
      <w:spacing w:before="480"/>
      <w:jc w:val="left"/>
    </w:pPr>
  </w:style>
  <w:style w:type="character" w:customStyle="1" w:styleId="SchmutztitelHinweisZchn">
    <w:name w:val="Schmutztitel_Hinweis Zchn"/>
    <w:basedOn w:val="Absatz-Standardschriftart"/>
    <w:link w:val="SchmutztitelHinweis"/>
    <w:uiPriority w:val="49"/>
    <w:rPr>
      <w:rFonts w:ascii="Segoe UI" w:eastAsiaTheme="majorEastAsia" w:hAnsi="Segoe UI" w:cstheme="majorBidi"/>
      <w:szCs w:val="22"/>
      <w:lang w:eastAsia="en-US" w:bidi="en-US"/>
    </w:rPr>
  </w:style>
  <w:style w:type="paragraph" w:customStyle="1" w:styleId="Impressum">
    <w:name w:val="Impressum"/>
    <w:basedOn w:val="Standard"/>
    <w:link w:val="ImpressumZchn"/>
    <w:uiPriority w:val="99"/>
    <w:qFormat/>
    <w:pPr>
      <w:spacing w:before="540"/>
      <w:jc w:val="left"/>
    </w:pPr>
  </w:style>
  <w:style w:type="character" w:customStyle="1" w:styleId="ImpressumZchn">
    <w:name w:val="Impressum Zchn"/>
    <w:basedOn w:val="Absatz-Standardschriftart"/>
    <w:link w:val="Impressum"/>
    <w:uiPriority w:val="99"/>
    <w:rPr>
      <w:rFonts w:ascii="Segoe UI" w:eastAsiaTheme="majorEastAsia" w:hAnsi="Segoe UI" w:cstheme="majorBidi"/>
      <w:szCs w:val="22"/>
      <w:lang w:eastAsia="en-US" w:bidi="en-US"/>
    </w:rPr>
  </w:style>
  <w:style w:type="table" w:customStyle="1" w:styleId="GGFllung">
    <w:name w:val="GÖG_Füllung"/>
    <w:basedOn w:val="NormaleTabelle"/>
    <w:uiPriority w:val="99"/>
    <w:qFormat/>
    <w:pPr>
      <w:spacing w:before="270" w:line="270" w:lineRule="exact"/>
    </w:pPr>
    <w:rPr>
      <w:rFonts w:ascii="Lucida Sans Unicode" w:hAnsi="Lucida Sans Unicode"/>
      <w:sz w:val="14"/>
      <w:szCs w:val="18"/>
    </w:rPr>
    <w:tblPr>
      <w:tblStyleRowBandSize w:val="1"/>
      <w:tblStyleColBandSize w:val="1"/>
      <w:tblBorders>
        <w:insideV w:val="single" w:sz="4" w:space="0" w:color="000000" w:themeColor="background2"/>
      </w:tblBorders>
    </w:tblPr>
    <w:tblStylePr w:type="firstRow">
      <w:pPr>
        <w:wordWrap/>
        <w:spacing w:beforeLines="0" w:beforeAutospacing="0" w:afterLines="0" w:afterAutospacing="0" w:line="200" w:lineRule="exact"/>
        <w:ind w:leftChars="0" w:left="0" w:rightChars="0" w:right="0" w:firstLineChars="0" w:firstLine="0"/>
      </w:pPr>
      <w:rPr>
        <w:rFonts w:ascii="Lucida Sans Unicode" w:hAnsi="Lucida Sans Unicode"/>
        <w:b/>
        <w:i w:val="0"/>
        <w:caps w:val="0"/>
        <w:smallCaps w:val="0"/>
        <w:strike w:val="0"/>
        <w:dstrike w:val="0"/>
        <w:vanish w:val="0"/>
        <w:color w:val="000000" w:themeColor="text1"/>
        <w:sz w:val="14"/>
        <w:u w:val="none"/>
        <w:vertAlign w:val="baseline"/>
      </w:rPr>
    </w:tblStylePr>
    <w:tblStylePr w:type="band1Vert">
      <w:rPr>
        <w:rFonts w:ascii="Lucida Sans Unicode" w:hAnsi="Lucida Sans Unicode"/>
        <w:sz w:val="14"/>
      </w:rPr>
      <w:tblPr/>
      <w:tcPr>
        <w:tcBorders>
          <w:insideV w:val="single" w:sz="4" w:space="0" w:color="000000" w:themeColor="background2"/>
        </w:tcBorders>
      </w:tcPr>
    </w:tblStylePr>
    <w:tblStylePr w:type="band1Horz">
      <w:pPr>
        <w:wordWrap/>
        <w:spacing w:beforeLines="0" w:beforeAutospacing="0" w:afterLines="0" w:afterAutospacing="0" w:line="200" w:lineRule="exact"/>
        <w:ind w:leftChars="0" w:left="0" w:rightChars="0" w:right="0" w:firstLineChars="0" w:firstLine="0"/>
      </w:pPr>
      <w:rPr>
        <w:rFonts w:ascii="Lucida Sans Unicode" w:hAnsi="Lucida Sans Unicode"/>
        <w:sz w:val="14"/>
      </w:rPr>
      <w:tblPr/>
      <w:tcPr>
        <w:shd w:val="clear" w:color="auto" w:fill="EAEAEA"/>
      </w:tcPr>
    </w:tblStylePr>
    <w:tblStylePr w:type="band2Horz">
      <w:pPr>
        <w:wordWrap/>
        <w:spacing w:beforeLines="0" w:beforeAutospacing="0" w:afterLines="0" w:afterAutospacing="0" w:line="200" w:lineRule="exact"/>
        <w:ind w:leftChars="0" w:left="0" w:rightChars="0" w:right="0" w:firstLineChars="0" w:firstLine="0"/>
        <w:contextualSpacing w:val="0"/>
        <w:mirrorIndents w:val="0"/>
        <w:jc w:val="left"/>
        <w:outlineLvl w:val="9"/>
      </w:pPr>
      <w:rPr>
        <w:rFonts w:ascii="Lucida Sans Unicode" w:hAnsi="Lucida Sans Unicode"/>
        <w:sz w:val="14"/>
      </w:rPr>
    </w:tblStylePr>
  </w:style>
  <w:style w:type="paragraph" w:customStyle="1" w:styleId="Schmutztitel2Untertitel">
    <w:name w:val="Schmutztitel_2. Untertitel"/>
    <w:basedOn w:val="SchmutztitelTitel"/>
    <w:next w:val="SchmutztitelAutoren"/>
    <w:uiPriority w:val="49"/>
    <w:qFormat/>
    <w:pPr>
      <w:spacing w:before="720" w:line="460" w:lineRule="exact"/>
    </w:pPr>
    <w:rPr>
      <w:sz w:val="32"/>
      <w:szCs w:val="18"/>
    </w:rPr>
  </w:style>
  <w:style w:type="paragraph" w:customStyle="1" w:styleId="DeckblattAuftraggeber">
    <w:name w:val="Deckblatt Auftraggeber"/>
    <w:basedOn w:val="Standard"/>
    <w:uiPriority w:val="15"/>
    <w:qFormat/>
    <w:pPr>
      <w:spacing w:before="360"/>
    </w:pPr>
    <w:rPr>
      <w:rFonts w:cs="Microsoft Sans Serif"/>
      <w:szCs w:val="18"/>
    </w:rPr>
  </w:style>
  <w:style w:type="paragraph" w:customStyle="1" w:styleId="Schmutztitelberschrift">
    <w:name w:val="Schmutztitel_Überschrift"/>
    <w:basedOn w:val="SchmutztitelAutoren"/>
    <w:uiPriority w:val="99"/>
    <w:qFormat/>
    <w:pPr>
      <w:spacing w:before="240" w:after="120" w:line="240" w:lineRule="auto"/>
      <w:contextualSpacing w:val="0"/>
    </w:pPr>
  </w:style>
  <w:style w:type="character" w:styleId="Hyperlink">
    <w:name w:val="Hyperlink"/>
    <w:basedOn w:val="Absatz-Standardschriftart"/>
    <w:uiPriority w:val="99"/>
    <w:rPr>
      <w:rFonts w:ascii="Segoe UI" w:hAnsi="Segoe UI"/>
      <w:color w:val="000000" w:themeColor="text1"/>
      <w:sz w:val="20"/>
      <w:u w:val="single"/>
    </w:rPr>
  </w:style>
  <w:style w:type="table" w:customStyle="1" w:styleId="GGRahmen">
    <w:name w:val="GÖG_Rahmen"/>
    <w:basedOn w:val="NormaleTabelle"/>
    <w:uiPriority w:val="99"/>
    <w:qFormat/>
    <w:pPr>
      <w:spacing w:before="20" w:after="20" w:line="200" w:lineRule="exact"/>
    </w:pPr>
    <w:rPr>
      <w:rFonts w:ascii="Lucida Sans Unicode" w:hAnsi="Lucida Sans Unicode"/>
      <w:color w:val="000000" w:themeColor="text1"/>
      <w:sz w:val="14"/>
      <w:szCs w:val="18"/>
    </w:rPr>
    <w:tblPr>
      <w:jc w:val="center"/>
      <w:tblBorders>
        <w:insideH w:val="single" w:sz="4" w:space="0" w:color="000000" w:themeColor="background2"/>
        <w:insideV w:val="single" w:sz="4" w:space="0" w:color="000000" w:themeColor="background2"/>
      </w:tblBorders>
    </w:tblPr>
    <w:trPr>
      <w:jc w:val="center"/>
    </w:trPr>
    <w:tcPr>
      <w:vAlign w:val="center"/>
    </w:tcPr>
    <w:tblStylePr w:type="firstRow">
      <w:pPr>
        <w:wordWrap/>
        <w:spacing w:beforeLines="0" w:beforeAutospacing="0" w:afterLines="0" w:afterAutospacing="0" w:line="200" w:lineRule="exact"/>
        <w:ind w:leftChars="0" w:left="0" w:rightChars="0" w:right="0" w:firstLineChars="0" w:firstLine="0"/>
        <w:contextualSpacing w:val="0"/>
        <w:mirrorIndents w:val="0"/>
        <w:outlineLvl w:val="9"/>
      </w:pPr>
      <w:rPr>
        <w:rFonts w:ascii="Lucida Sans Unicode" w:hAnsi="Lucida Sans Unicode"/>
        <w:b/>
        <w:caps w:val="0"/>
        <w:smallCaps w:val="0"/>
        <w:strike w:val="0"/>
        <w:dstrike w:val="0"/>
        <w:vanish w:val="0"/>
        <w:color w:val="000000" w:themeColor="text1"/>
        <w:sz w:val="14"/>
        <w:vertAlign w:val="baseline"/>
      </w:rPr>
    </w:tblStylePr>
  </w:style>
  <w:style w:type="paragraph" w:styleId="Kopfzeile">
    <w:name w:val="header"/>
    <w:basedOn w:val="Standard"/>
    <w:link w:val="KopfzeileZchn"/>
    <w:uiPriority w:val="99"/>
    <w:unhideWhenUsed/>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Pr>
      <w:rFonts w:ascii="Segoe UI" w:eastAsiaTheme="majorEastAsia" w:hAnsi="Segoe UI" w:cstheme="majorBidi"/>
      <w:szCs w:val="22"/>
      <w:lang w:eastAsia="en-US" w:bidi="en-US"/>
    </w:rPr>
  </w:style>
  <w:style w:type="paragraph" w:customStyle="1" w:styleId="ZahlISBN">
    <w:name w:val="Zahl_ISBN"/>
    <w:basedOn w:val="SchmutztitelHinweis"/>
    <w:uiPriority w:val="99"/>
    <w:pPr>
      <w:spacing w:before="720"/>
    </w:pPr>
  </w:style>
  <w:style w:type="paragraph" w:customStyle="1" w:styleId="Zitiervorschlag">
    <w:name w:val="Zitiervorschlag"/>
    <w:basedOn w:val="Standard"/>
    <w:link w:val="ZitiervorschlagZchn"/>
    <w:uiPriority w:val="99"/>
    <w:qFormat/>
    <w:pPr>
      <w:spacing w:before="7920"/>
      <w:jc w:val="left"/>
    </w:pPr>
  </w:style>
  <w:style w:type="character" w:customStyle="1" w:styleId="ZitiervorschlagZchn">
    <w:name w:val="Zitiervorschlag Zchn"/>
    <w:basedOn w:val="Absatz-Standardschriftart"/>
    <w:link w:val="Zitiervorschlag"/>
    <w:uiPriority w:val="99"/>
    <w:rPr>
      <w:rFonts w:ascii="Segoe UI" w:eastAsiaTheme="majorEastAsia" w:hAnsi="Segoe UI" w:cstheme="majorBidi"/>
      <w:szCs w:val="22"/>
      <w:lang w:eastAsia="en-US" w:bidi="en-US"/>
    </w:rPr>
  </w:style>
  <w:style w:type="character" w:styleId="Platzhaltertext">
    <w:name w:val="Placeholder Text"/>
    <w:basedOn w:val="Absatz-Standardschriftart"/>
    <w:uiPriority w:val="99"/>
    <w:semiHidden/>
    <w:rPr>
      <w:color w:val="808080"/>
    </w:rPr>
  </w:style>
  <w:style w:type="paragraph" w:customStyle="1" w:styleId="THEbene2">
    <w:name w:val="TH → Ebene 2"/>
    <w:basedOn w:val="Standard"/>
    <w:uiPriority w:val="13"/>
    <w:qFormat/>
    <w:pPr>
      <w:keepNext/>
      <w:keepLines/>
      <w:spacing w:before="20" w:after="20" w:line="200" w:lineRule="exact"/>
      <w:ind w:left="57" w:right="57"/>
      <w:jc w:val="left"/>
    </w:pPr>
    <w:rPr>
      <w:rFonts w:ascii="Segoe UI Semibold" w:hAnsi="Segoe UI Semibold"/>
      <w:sz w:val="17"/>
    </w:rPr>
  </w:style>
  <w:style w:type="paragraph" w:customStyle="1" w:styleId="THEbene1">
    <w:name w:val="TH ↓ Ebene 1"/>
    <w:basedOn w:val="Standard"/>
    <w:uiPriority w:val="36"/>
    <w:qFormat/>
    <w:pPr>
      <w:keepNext/>
      <w:keepLines/>
      <w:spacing w:before="20" w:after="20" w:line="200" w:lineRule="exact"/>
      <w:ind w:left="57" w:right="57"/>
      <w:jc w:val="center"/>
    </w:pPr>
    <w:rPr>
      <w:rFonts w:ascii="Segoe UI Semibold" w:hAnsi="Segoe UI Semibold"/>
      <w:sz w:val="17"/>
    </w:rPr>
  </w:style>
  <w:style w:type="paragraph" w:customStyle="1" w:styleId="TD">
    <w:name w:val="TD"/>
    <w:basedOn w:val="Standard"/>
    <w:uiPriority w:val="37"/>
    <w:qFormat/>
    <w:pPr>
      <w:spacing w:before="20" w:after="20" w:line="200" w:lineRule="exact"/>
      <w:ind w:left="57" w:right="57"/>
      <w:jc w:val="left"/>
    </w:pPr>
    <w:rPr>
      <w:sz w:val="17"/>
    </w:rPr>
  </w:style>
  <w:style w:type="table" w:customStyle="1" w:styleId="EinfacheTabelle">
    <w:name w:val="Einfache Tabelle"/>
    <w:basedOn w:val="NormaleTabelle"/>
    <w:uiPriority w:val="99"/>
    <w:tblPr>
      <w:tblStyleRowBandSize w:val="1"/>
      <w:tblBorders>
        <w:top w:val="single" w:sz="4" w:space="0" w:color="000000" w:themeColor="text1"/>
        <w:bottom w:val="single" w:sz="4" w:space="0" w:color="000000" w:themeColor="text1"/>
        <w:insideV w:val="single" w:sz="4" w:space="0" w:color="000000" w:themeColor="text1"/>
      </w:tblBorders>
    </w:tblPr>
    <w:tcPr>
      <w:shd w:val="clear" w:color="auto" w:fill="auto"/>
    </w:tcPr>
    <w:tblStylePr w:type="band2Horz">
      <w:tblPr/>
      <w:tcPr>
        <w:shd w:val="clear" w:color="auto" w:fill="F2F2F2" w:themeFill="background1" w:themeFillShade="F2"/>
      </w:tcPr>
    </w:tblStylePr>
  </w:style>
  <w:style w:type="paragraph" w:customStyle="1" w:styleId="THEbene10">
    <w:name w:val="TH → Ebene 1"/>
    <w:basedOn w:val="Standard"/>
    <w:uiPriority w:val="13"/>
    <w:qFormat/>
    <w:pPr>
      <w:keepNext/>
      <w:keepLines/>
      <w:spacing w:before="20" w:after="20" w:line="200" w:lineRule="exact"/>
      <w:ind w:left="57" w:right="57"/>
      <w:jc w:val="left"/>
    </w:pPr>
    <w:rPr>
      <w:rFonts w:ascii="Segoe UI Semibold" w:hAnsi="Segoe UI Semibold"/>
      <w:sz w:val="17"/>
    </w:rPr>
  </w:style>
  <w:style w:type="paragraph" w:customStyle="1" w:styleId="THEbene3">
    <w:name w:val="TH → Ebene 3"/>
    <w:basedOn w:val="Standard"/>
    <w:uiPriority w:val="13"/>
    <w:qFormat/>
    <w:pPr>
      <w:spacing w:before="0" w:line="240" w:lineRule="auto"/>
      <w:jc w:val="left"/>
    </w:pPr>
    <w:rPr>
      <w:rFonts w:ascii="Segoe UI Semibold" w:hAnsi="Segoe UI Semibold"/>
      <w:sz w:val="17"/>
    </w:rPr>
  </w:style>
  <w:style w:type="paragraph" w:customStyle="1" w:styleId="THEbene20">
    <w:name w:val="TH ↓ Ebene 2"/>
    <w:basedOn w:val="Standard"/>
    <w:uiPriority w:val="13"/>
    <w:qFormat/>
    <w:pPr>
      <w:keepNext/>
      <w:keepLines/>
      <w:spacing w:before="0" w:line="240" w:lineRule="auto"/>
      <w:jc w:val="center"/>
    </w:pPr>
    <w:rPr>
      <w:rFonts w:ascii="Segoe UI Semibold" w:hAnsi="Segoe UI Semibold"/>
      <w:sz w:val="17"/>
    </w:rPr>
  </w:style>
  <w:style w:type="paragraph" w:customStyle="1" w:styleId="THEbene2nur1Spalte">
    <w:name w:val="TH ↓ Ebene 2 nur 1. Spalte"/>
    <w:basedOn w:val="Standard"/>
    <w:uiPriority w:val="13"/>
    <w:qFormat/>
    <w:pPr>
      <w:keepNext/>
      <w:keepLines/>
      <w:spacing w:before="0" w:line="240" w:lineRule="auto"/>
      <w:jc w:val="center"/>
    </w:pPr>
    <w:rPr>
      <w:rFonts w:ascii="Segoe UI Semibold" w:hAnsi="Segoe UI Semibold"/>
      <w:sz w:val="17"/>
    </w:rPr>
  </w:style>
  <w:style w:type="table" w:customStyle="1" w:styleId="KomplexeTabelle1">
    <w:name w:val="Komplexe Tabelle 1"/>
    <w:basedOn w:val="NormaleTabelle"/>
    <w:uiPriority w:val="99"/>
    <w:tblPr>
      <w:tblStyleRowBandSize w:val="1"/>
      <w:tblBorders>
        <w:bottom w:val="single" w:sz="4" w:space="0" w:color="0D0D0D" w:themeColor="text1" w:themeTint="F2"/>
        <w:insideV w:val="single" w:sz="4" w:space="0" w:color="0D0D0D" w:themeColor="text1" w:themeTint="F2"/>
      </w:tblBorders>
      <w:tblCellMar>
        <w:top w:w="28" w:type="dxa"/>
        <w:left w:w="28" w:type="dxa"/>
        <w:bottom w:w="28" w:type="dxa"/>
        <w:right w:w="28" w:type="dxa"/>
      </w:tblCellMar>
    </w:tblPr>
    <w:tblStylePr w:type="firstRow">
      <w:tblPr/>
      <w:tcPr>
        <w:tcBorders>
          <w:top w:val="single" w:sz="4" w:space="0" w:color="auto"/>
          <w:left w:val="nil"/>
          <w:bottom w:val="single" w:sz="4" w:space="0" w:color="auto"/>
          <w:right w:val="nil"/>
          <w:insideH w:val="nil"/>
          <w:insideV w:val="single" w:sz="4" w:space="0" w:color="auto"/>
          <w:tl2br w:val="nil"/>
          <w:tr2bl w:val="nil"/>
        </w:tcBorders>
      </w:tcPr>
    </w:tblStylePr>
  </w:style>
  <w:style w:type="table" w:customStyle="1" w:styleId="KomplexeTabelle2">
    <w:name w:val="Komplexe Tabelle 2"/>
    <w:basedOn w:val="NormaleTabelle"/>
    <w:uiPriority w:val="99"/>
    <w:tblPr>
      <w:tblStyleRowBandSize w:val="1"/>
      <w:tblBorders>
        <w:top w:val="single" w:sz="4" w:space="0" w:color="000000" w:themeColor="text1"/>
        <w:bottom w:val="single" w:sz="4" w:space="0" w:color="000000" w:themeColor="text1"/>
        <w:insideV w:val="single" w:sz="4" w:space="0" w:color="000000" w:themeColor="text1"/>
      </w:tblBorders>
    </w:tblPr>
  </w:style>
  <w:style w:type="paragraph" w:customStyle="1" w:styleId="THEbene1irgendeine">
    <w:name w:val="TH ↓ Ebene 1 irgendeine"/>
    <w:basedOn w:val="Standard"/>
    <w:uiPriority w:val="13"/>
    <w:qFormat/>
    <w:pPr>
      <w:spacing w:before="0" w:line="240" w:lineRule="auto"/>
      <w:jc w:val="center"/>
    </w:pPr>
    <w:rPr>
      <w:rFonts w:ascii="Segoe UI Semibold" w:hAnsi="Segoe UI Semibold"/>
      <w:sz w:val="17"/>
    </w:rPr>
  </w:style>
  <w:style w:type="paragraph" w:customStyle="1" w:styleId="THEbene30">
    <w:name w:val="TH ↓ Ebene 3"/>
    <w:basedOn w:val="Standard"/>
    <w:uiPriority w:val="13"/>
    <w:qFormat/>
    <w:pPr>
      <w:keepNext/>
      <w:keepLines/>
      <w:spacing w:before="20" w:after="20" w:line="200" w:lineRule="exact"/>
      <w:ind w:left="57" w:right="57"/>
      <w:jc w:val="center"/>
    </w:pPr>
    <w:rPr>
      <w:rFonts w:ascii="Segoe UI Semibold" w:hAnsi="Segoe UI Semibold"/>
      <w:sz w:val="17"/>
    </w:rPr>
  </w:style>
  <w:style w:type="paragraph" w:customStyle="1" w:styleId="THEbene3nur1Spalte">
    <w:name w:val="TH ↓ Ebene 3 nur 1. Spalte"/>
    <w:basedOn w:val="Standard"/>
    <w:uiPriority w:val="13"/>
    <w:qFormat/>
    <w:pPr>
      <w:keepNext/>
      <w:keepLines/>
      <w:spacing w:before="20" w:after="20" w:line="200" w:lineRule="exact"/>
      <w:ind w:left="57" w:right="57"/>
      <w:jc w:val="center"/>
    </w:pPr>
    <w:rPr>
      <w:rFonts w:ascii="Segoe UI Semibold" w:hAnsi="Segoe UI Semibold"/>
      <w:sz w:val="17"/>
    </w:rPr>
  </w:style>
  <w:style w:type="paragraph" w:customStyle="1" w:styleId="THEbene2irgendeine">
    <w:name w:val="TH ↓ Ebene 2 irgendeine"/>
    <w:basedOn w:val="Standard"/>
    <w:uiPriority w:val="13"/>
    <w:qFormat/>
    <w:pPr>
      <w:keepNext/>
      <w:keepLines/>
      <w:spacing w:before="20" w:after="20" w:line="200" w:lineRule="exact"/>
      <w:ind w:left="57" w:right="57"/>
      <w:jc w:val="center"/>
    </w:pPr>
    <w:rPr>
      <w:rFonts w:ascii="Segoe UI Semibold" w:hAnsi="Segoe UI Semibold"/>
      <w:sz w:val="17"/>
    </w:rPr>
  </w:style>
  <w:style w:type="paragraph" w:customStyle="1" w:styleId="THEbene4">
    <w:name w:val="TH → Ebene 4"/>
    <w:basedOn w:val="Standard"/>
    <w:uiPriority w:val="36"/>
    <w:semiHidden/>
    <w:qFormat/>
    <w:pPr>
      <w:keepNext/>
      <w:keepLines/>
      <w:spacing w:before="20" w:after="20" w:line="200" w:lineRule="exact"/>
      <w:ind w:left="57" w:right="57"/>
      <w:jc w:val="left"/>
    </w:pPr>
    <w:rPr>
      <w:b/>
      <w:sz w:val="14"/>
    </w:rPr>
  </w:style>
  <w:style w:type="paragraph" w:customStyle="1" w:styleId="THEbene40">
    <w:name w:val="TH ↓ Ebene 4"/>
    <w:basedOn w:val="Standard"/>
    <w:uiPriority w:val="36"/>
    <w:semiHidden/>
    <w:qFormat/>
    <w:pPr>
      <w:keepNext/>
      <w:keepLines/>
      <w:spacing w:before="20" w:after="20" w:line="200" w:lineRule="exact"/>
      <w:ind w:left="57" w:right="57"/>
      <w:jc w:val="center"/>
    </w:pPr>
    <w:rPr>
      <w:b/>
      <w:sz w:val="14"/>
    </w:rPr>
  </w:style>
  <w:style w:type="paragraph" w:customStyle="1" w:styleId="THEbene4nur1Spalte">
    <w:name w:val="TH ↓ Ebene 4 nur 1. Spalte"/>
    <w:basedOn w:val="Standard"/>
    <w:uiPriority w:val="36"/>
    <w:semiHidden/>
    <w:qFormat/>
    <w:pPr>
      <w:keepNext/>
      <w:keepLines/>
      <w:spacing w:before="20" w:after="20" w:line="200" w:lineRule="exact"/>
      <w:ind w:left="57" w:right="57"/>
      <w:jc w:val="center"/>
    </w:pPr>
    <w:rPr>
      <w:b/>
      <w:sz w:val="14"/>
    </w:rPr>
  </w:style>
  <w:style w:type="paragraph" w:customStyle="1" w:styleId="THEbene5">
    <w:name w:val="TH → Ebene 5"/>
    <w:basedOn w:val="Standard"/>
    <w:uiPriority w:val="36"/>
    <w:semiHidden/>
    <w:qFormat/>
    <w:pPr>
      <w:keepNext/>
      <w:keepLines/>
      <w:spacing w:before="20" w:after="20" w:line="200" w:lineRule="exact"/>
      <w:ind w:left="57" w:right="57"/>
      <w:jc w:val="left"/>
    </w:pPr>
    <w:rPr>
      <w:b/>
      <w:sz w:val="14"/>
    </w:rPr>
  </w:style>
  <w:style w:type="paragraph" w:customStyle="1" w:styleId="TD1">
    <w:name w:val="TD 1"/>
    <w:basedOn w:val="TD"/>
    <w:uiPriority w:val="13"/>
    <w:qFormat/>
    <w:pPr>
      <w:jc w:val="right"/>
    </w:pPr>
  </w:style>
  <w:style w:type="paragraph" w:customStyle="1" w:styleId="TDListe1">
    <w:name w:val="TD Liste 1"/>
    <w:basedOn w:val="TDListe2"/>
    <w:uiPriority w:val="13"/>
    <w:qFormat/>
    <w:pPr>
      <w:numPr>
        <w:ilvl w:val="0"/>
      </w:numPr>
    </w:pPr>
  </w:style>
  <w:style w:type="paragraph" w:customStyle="1" w:styleId="TDListe2">
    <w:name w:val="TD Liste 2"/>
    <w:basedOn w:val="Standard"/>
    <w:uiPriority w:val="13"/>
    <w:qFormat/>
    <w:pPr>
      <w:keepNext/>
      <w:keepLines/>
      <w:numPr>
        <w:ilvl w:val="1"/>
        <w:numId w:val="7"/>
      </w:numPr>
      <w:spacing w:before="20" w:after="20" w:line="200" w:lineRule="exact"/>
      <w:ind w:right="57"/>
      <w:jc w:val="left"/>
    </w:pPr>
    <w:rPr>
      <w:sz w:val="17"/>
    </w:rPr>
  </w:style>
  <w:style w:type="paragraph" w:customStyle="1" w:styleId="TDListe3">
    <w:name w:val="TD Liste 3"/>
    <w:basedOn w:val="Standard"/>
    <w:uiPriority w:val="13"/>
    <w:qFormat/>
    <w:pPr>
      <w:keepNext/>
      <w:keepLines/>
      <w:numPr>
        <w:ilvl w:val="2"/>
        <w:numId w:val="7"/>
      </w:numPr>
      <w:spacing w:before="20" w:after="20" w:line="200" w:lineRule="exact"/>
      <w:ind w:right="57"/>
      <w:jc w:val="left"/>
    </w:pPr>
    <w:rPr>
      <w:sz w:val="14"/>
    </w:rPr>
  </w:style>
  <w:style w:type="paragraph" w:styleId="StandardWeb">
    <w:name w:val="Normal (Web)"/>
    <w:basedOn w:val="Standard"/>
    <w:uiPriority w:val="99"/>
    <w:semiHidden/>
    <w:unhideWhenUsed/>
    <w:pPr>
      <w:spacing w:before="100" w:beforeAutospacing="1" w:after="100" w:afterAutospacing="1" w:line="240" w:lineRule="auto"/>
      <w:jc w:val="left"/>
    </w:pPr>
    <w:rPr>
      <w:rFonts w:ascii="Times New Roman" w:eastAsia="Times New Roman" w:hAnsi="Times New Roman" w:cs="Times New Roman"/>
      <w:sz w:val="24"/>
      <w:szCs w:val="24"/>
      <w:lang w:val="de-DE" w:eastAsia="de-DE" w:bidi="ar-SA"/>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EndNoteBibliographyTitle">
    <w:name w:val="EndNote Bibliography Title"/>
    <w:basedOn w:val="Standard"/>
    <w:link w:val="EndNoteBibliographyTitleZchn"/>
    <w:qFormat/>
    <w:pPr>
      <w:jc w:val="center"/>
    </w:pPr>
    <w:rPr>
      <w:rFonts w:ascii="Lucida Sans Unicode" w:hAnsi="Lucida Sans Unicode" w:cs="Lucida Sans Unicode"/>
      <w:noProof/>
      <w:sz w:val="18"/>
      <w:lang w:val="en-US"/>
    </w:rPr>
  </w:style>
  <w:style w:type="character" w:customStyle="1" w:styleId="EndNoteBibliographyTitleZchn">
    <w:name w:val="EndNote Bibliography Title Zchn"/>
    <w:basedOn w:val="Absatz-Standardschriftart"/>
    <w:link w:val="EndNoteBibliographyTitle"/>
    <w:rPr>
      <w:rFonts w:ascii="Lucida Sans Unicode" w:eastAsiaTheme="majorEastAsia" w:hAnsi="Lucida Sans Unicode" w:cs="Lucida Sans Unicode"/>
      <w:noProof/>
      <w:sz w:val="18"/>
      <w:szCs w:val="22"/>
      <w:lang w:val="en-US" w:eastAsia="en-US" w:bidi="en-US"/>
    </w:rPr>
  </w:style>
  <w:style w:type="paragraph" w:customStyle="1" w:styleId="EndNoteBibliography">
    <w:name w:val="EndNote Bibliography"/>
    <w:basedOn w:val="Standard"/>
    <w:link w:val="EndNoteBibliographyZchn"/>
    <w:qFormat/>
    <w:pPr>
      <w:spacing w:line="240" w:lineRule="exact"/>
      <w:ind w:left="357" w:hanging="357"/>
      <w:jc w:val="left"/>
    </w:pPr>
    <w:rPr>
      <w:rFonts w:ascii="Lucida Sans Unicode" w:hAnsi="Lucida Sans Unicode" w:cs="Lucida Sans Unicode"/>
      <w:noProof/>
      <w:sz w:val="18"/>
    </w:rPr>
  </w:style>
  <w:style w:type="character" w:customStyle="1" w:styleId="EndNoteBibliographyZchn">
    <w:name w:val="EndNote Bibliography Zchn"/>
    <w:basedOn w:val="Absatz-Standardschriftart"/>
    <w:link w:val="EndNoteBibliography"/>
    <w:rPr>
      <w:rFonts w:ascii="Lucida Sans Unicode" w:eastAsiaTheme="majorEastAsia" w:hAnsi="Lucida Sans Unicode" w:cs="Lucida Sans Unicode"/>
      <w:noProof/>
      <w:sz w:val="18"/>
      <w:szCs w:val="22"/>
      <w:lang w:eastAsia="en-US" w:bidi="en-US"/>
    </w:rPr>
  </w:style>
  <w:style w:type="paragraph" w:customStyle="1" w:styleId="ImpressumText">
    <w:name w:val="Impressum_Text"/>
    <w:basedOn w:val="KeinLeerraum"/>
    <w:qFormat/>
    <w:pPr>
      <w:spacing w:after="24"/>
      <w:jc w:val="left"/>
    </w:pPr>
    <w:rPr>
      <w:rFonts w:ascii="Calibri" w:eastAsia="Calibri" w:hAnsi="Calibri" w:cs="Arial"/>
      <w:sz w:val="18"/>
      <w:lang w:bidi="ar-SA"/>
    </w:rPr>
  </w:style>
  <w:style w:type="paragraph" w:customStyle="1" w:styleId="Impressumberschrift">
    <w:name w:val="Impressum_Überschrift"/>
    <w:basedOn w:val="Standard"/>
    <w:link w:val="ImpressumberschriftZchn"/>
    <w:qFormat/>
    <w:pPr>
      <w:spacing w:before="0" w:line="240" w:lineRule="auto"/>
      <w:jc w:val="left"/>
    </w:pPr>
    <w:rPr>
      <w:rFonts w:ascii="Calibri" w:eastAsia="Arial" w:hAnsi="Calibri" w:cs="Arial"/>
      <w:b/>
      <w:bCs/>
      <w:color w:val="32899E"/>
      <w:sz w:val="32"/>
      <w:szCs w:val="32"/>
    </w:rPr>
  </w:style>
  <w:style w:type="character" w:customStyle="1" w:styleId="ImpressumberschriftZchn">
    <w:name w:val="Impressum_Überschrift Zchn"/>
    <w:basedOn w:val="Absatz-Standardschriftart"/>
    <w:link w:val="Impressumberschrift"/>
    <w:rPr>
      <w:rFonts w:ascii="Calibri" w:eastAsia="Arial" w:hAnsi="Calibri" w:cs="Arial"/>
      <w:b/>
      <w:bCs/>
      <w:color w:val="32899E"/>
      <w:sz w:val="32"/>
      <w:szCs w:val="32"/>
      <w:lang w:eastAsia="en-US" w:bidi="en-US"/>
    </w:rPr>
  </w:style>
  <w:style w:type="paragraph" w:customStyle="1" w:styleId="ImpressumZwischenberschrift">
    <w:name w:val="Impressum_Zwischenüberschrift"/>
    <w:basedOn w:val="Standard"/>
    <w:qFormat/>
    <w:pPr>
      <w:spacing w:before="720" w:after="24" w:line="240" w:lineRule="auto"/>
      <w:ind w:right="-51" w:firstLine="11"/>
    </w:pPr>
    <w:rPr>
      <w:rFonts w:ascii="Calibri" w:eastAsia="Arial" w:hAnsi="Calibri" w:cs="Arial"/>
      <w:b/>
      <w:bCs/>
      <w:color w:val="231F20"/>
      <w:szCs w:val="20"/>
    </w:rPr>
  </w:style>
  <w:style w:type="paragraph" w:customStyle="1" w:styleId="DeckblattZS-G1">
    <w:name w:val="Deckblatt_ZS-G1"/>
    <w:basedOn w:val="Standard"/>
    <w:qFormat/>
    <w:pPr>
      <w:widowControl w:val="0"/>
      <w:spacing w:before="0" w:line="240" w:lineRule="auto"/>
      <w:jc w:val="center"/>
    </w:pPr>
    <w:rPr>
      <w:rFonts w:ascii="Calibri" w:eastAsia="Calibri" w:hAnsi="Calibri" w:cs="Calibri"/>
      <w:b/>
      <w:bCs/>
      <w:color w:val="32899E"/>
      <w:spacing w:val="18"/>
      <w:sz w:val="38"/>
      <w:szCs w:val="38"/>
      <w:lang w:bidi="ar-SA"/>
    </w:rPr>
  </w:style>
  <w:style w:type="paragraph" w:customStyle="1" w:styleId="DeckblattZS-G2">
    <w:name w:val="Deckblatt_ZS-G2"/>
    <w:basedOn w:val="Standard"/>
    <w:qFormat/>
    <w:pPr>
      <w:spacing w:before="0" w:line="342" w:lineRule="exact"/>
      <w:jc w:val="center"/>
    </w:pPr>
    <w:rPr>
      <w:rFonts w:ascii="Calibri Light" w:eastAsia="Calibri Light" w:hAnsi="Calibri Light" w:cs="Calibri Light"/>
      <w:color w:val="000000"/>
      <w:spacing w:val="-2"/>
      <w:w w:val="101"/>
      <w:position w:val="1"/>
      <w:sz w:val="30"/>
      <w:szCs w:val="30"/>
      <w:lang w:bidi="ar-SA"/>
    </w:rPr>
  </w:style>
  <w:style w:type="paragraph" w:customStyle="1" w:styleId="DeckblattHaupttitel">
    <w:name w:val="Deckblatt_Haupttitel"/>
    <w:basedOn w:val="Standard"/>
    <w:qFormat/>
    <w:pPr>
      <w:spacing w:before="3360" w:line="880" w:lineRule="exact"/>
      <w:ind w:left="2778"/>
      <w:jc w:val="left"/>
    </w:pPr>
    <w:rPr>
      <w:rFonts w:asciiTheme="minorHAnsi" w:eastAsia="Arial" w:hAnsiTheme="minorHAnsi" w:cs="Arial"/>
      <w:b/>
      <w:bCs/>
      <w:color w:val="32899E"/>
      <w:sz w:val="80"/>
      <w:szCs w:val="60"/>
    </w:rPr>
  </w:style>
  <w:style w:type="paragraph" w:customStyle="1" w:styleId="DeckblattUntertitel">
    <w:name w:val="Deckblatt_Untertitel"/>
    <w:basedOn w:val="Standard"/>
    <w:qFormat/>
    <w:pPr>
      <w:spacing w:before="1320" w:line="600" w:lineRule="exact"/>
      <w:ind w:left="2778"/>
      <w:jc w:val="left"/>
    </w:pPr>
    <w:rPr>
      <w:rFonts w:ascii="Calibri" w:eastAsia="Arial" w:hAnsi="Calibri" w:cs="Arial"/>
      <w:bCs/>
      <w:color w:val="333333"/>
      <w:sz w:val="48"/>
      <w:szCs w:val="40"/>
    </w:rPr>
  </w:style>
  <w:style w:type="paragraph" w:customStyle="1" w:styleId="DeckblattBerichtsart0">
    <w:name w:val="Deckblatt_Berichtsart"/>
    <w:basedOn w:val="Standard"/>
    <w:qFormat/>
    <w:pPr>
      <w:spacing w:before="1840" w:line="340" w:lineRule="exact"/>
      <w:ind w:left="2778"/>
      <w:jc w:val="left"/>
    </w:pPr>
    <w:rPr>
      <w:rFonts w:ascii="Calibri" w:eastAsia="Arial" w:hAnsi="Calibri" w:cs="Arial"/>
      <w:b/>
      <w:bCs/>
      <w:color w:val="333333"/>
      <w:sz w:val="28"/>
      <w:szCs w:val="28"/>
    </w:rPr>
  </w:style>
  <w:style w:type="paragraph" w:customStyle="1" w:styleId="ImpressumVerantwortungErscheinungsdatum">
    <w:name w:val="Impressum_Verantwortung_Erscheinungsdatum"/>
    <w:basedOn w:val="ImpressumText"/>
  </w:style>
  <w:style w:type="paragraph" w:styleId="KeinLeerraum">
    <w:name w:val="No Spacing"/>
    <w:uiPriority w:val="1"/>
    <w:semiHidden/>
    <w:qFormat/>
    <w:pPr>
      <w:jc w:val="both"/>
    </w:pPr>
    <w:rPr>
      <w:rFonts w:ascii="Segoe UI" w:eastAsiaTheme="majorEastAsia" w:hAnsi="Segoe UI" w:cstheme="majorBidi"/>
      <w:szCs w:val="22"/>
      <w:lang w:eastAsia="en-US" w:bidi="en-US"/>
    </w:rPr>
  </w:style>
  <w:style w:type="character" w:customStyle="1" w:styleId="Standard0Zchn">
    <w:name w:val="Standard 0 Zchn"/>
    <w:basedOn w:val="Absatz-Standardschriftart"/>
    <w:link w:val="Standard0"/>
    <w:rPr>
      <w:rFonts w:ascii="Segoe UI" w:eastAsiaTheme="majorEastAsia" w:hAnsi="Segoe UI" w:cstheme="majorBidi"/>
      <w:szCs w:val="22"/>
      <w:lang w:eastAsia="en-US" w:bidi="en-US"/>
    </w:rPr>
  </w:style>
  <w:style w:type="character" w:customStyle="1" w:styleId="Liste1Zchn">
    <w:name w:val="Liste 1 Zchn"/>
    <w:basedOn w:val="Absatz-Standardschriftart"/>
    <w:link w:val="Liste1"/>
    <w:uiPriority w:val="10"/>
    <w:rsid w:val="00755ABB"/>
    <w:rPr>
      <w:rFonts w:ascii="Segoe UI" w:eastAsiaTheme="majorEastAsia" w:hAnsi="Segoe UI" w:cstheme="majorBidi"/>
      <w:szCs w:val="22"/>
      <w:lang w:eastAsia="en-US" w:bidi="en-US"/>
    </w:rPr>
  </w:style>
  <w:style w:type="paragraph" w:styleId="Listenabsatz">
    <w:name w:val="List Paragraph"/>
    <w:basedOn w:val="Standard"/>
    <w:uiPriority w:val="34"/>
    <w:qFormat/>
    <w:pPr>
      <w:spacing w:before="270" w:line="270" w:lineRule="exact"/>
      <w:ind w:left="720"/>
      <w:contextualSpacing/>
    </w:pPr>
    <w:rPr>
      <w:rFonts w:ascii="Lucida Sans Unicode" w:hAnsi="Lucida Sans Unicode"/>
      <w:sz w:val="18"/>
    </w:rPr>
  </w:style>
  <w:style w:type="paragraph" w:styleId="berarbeitung">
    <w:name w:val="Revision"/>
    <w:hidden/>
    <w:uiPriority w:val="99"/>
    <w:semiHidden/>
    <w:rPr>
      <w:rFonts w:ascii="Segoe UI" w:eastAsiaTheme="majorEastAsia" w:hAnsi="Segoe UI" w:cstheme="majorBidi"/>
      <w:szCs w:val="22"/>
      <w:lang w:eastAsia="en-US" w:bidi="en-US"/>
    </w:rPr>
  </w:style>
  <w:style w:type="character" w:customStyle="1" w:styleId="NichtaufgelsteErwhnung2">
    <w:name w:val="Nicht aufgelöste Erwähnung2"/>
    <w:basedOn w:val="Absatz-Standardschriftart"/>
    <w:uiPriority w:val="99"/>
    <w:semiHidden/>
    <w:unhideWhenUsed/>
    <w:rsid w:val="000C0DB7"/>
    <w:rPr>
      <w:color w:val="605E5C"/>
      <w:shd w:val="clear" w:color="auto" w:fill="E1DFDD"/>
    </w:rPr>
  </w:style>
  <w:style w:type="character" w:styleId="NichtaufgelsteErwhnung">
    <w:name w:val="Unresolved Mention"/>
    <w:basedOn w:val="Absatz-Standardschriftart"/>
    <w:uiPriority w:val="99"/>
    <w:semiHidden/>
    <w:unhideWhenUsed/>
    <w:rsid w:val="00235BAA"/>
    <w:rPr>
      <w:color w:val="605E5C"/>
      <w:shd w:val="clear" w:color="auto" w:fill="E1DFDD"/>
    </w:rPr>
  </w:style>
  <w:style w:type="character" w:customStyle="1" w:styleId="cf01">
    <w:name w:val="cf01"/>
    <w:basedOn w:val="Absatz-Standardschriftart"/>
    <w:rsid w:val="009A607A"/>
    <w:rPr>
      <w:rFonts w:ascii="Segoe UI" w:hAnsi="Segoe UI" w:cs="Segoe UI" w:hint="default"/>
      <w:sz w:val="18"/>
      <w:szCs w:val="18"/>
    </w:rPr>
  </w:style>
  <w:style w:type="character" w:customStyle="1" w:styleId="cf11">
    <w:name w:val="cf11"/>
    <w:basedOn w:val="Absatz-Standardschriftart"/>
    <w:rsid w:val="009A607A"/>
    <w:rPr>
      <w:rFonts w:ascii="Segoe UI" w:hAnsi="Segoe UI" w:cs="Segoe UI" w:hint="default"/>
      <w:color w:val="0000FF"/>
      <w:sz w:val="18"/>
      <w:szCs w:val="18"/>
      <w:shd w:val="clear" w:color="auto" w:fill="00FF00"/>
    </w:rPr>
  </w:style>
  <w:style w:type="character" w:customStyle="1" w:styleId="cf21">
    <w:name w:val="cf21"/>
    <w:basedOn w:val="Absatz-Standardschriftart"/>
    <w:rsid w:val="009A607A"/>
    <w:rPr>
      <w:rFonts w:ascii="Segoe UI" w:hAnsi="Segoe UI" w:cs="Segoe UI" w:hint="default"/>
      <w:color w:val="0000FF"/>
      <w:sz w:val="18"/>
      <w:szCs w:val="18"/>
    </w:rPr>
  </w:style>
  <w:style w:type="character" w:customStyle="1" w:styleId="metadatalabel">
    <w:name w:val="metadata_label"/>
    <w:basedOn w:val="Absatz-Standardschriftart"/>
    <w:rsid w:val="00C91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722">
      <w:bodyDiv w:val="1"/>
      <w:marLeft w:val="0"/>
      <w:marRight w:val="0"/>
      <w:marTop w:val="0"/>
      <w:marBottom w:val="0"/>
      <w:divBdr>
        <w:top w:val="none" w:sz="0" w:space="0" w:color="auto"/>
        <w:left w:val="none" w:sz="0" w:space="0" w:color="auto"/>
        <w:bottom w:val="none" w:sz="0" w:space="0" w:color="auto"/>
        <w:right w:val="none" w:sz="0" w:space="0" w:color="auto"/>
      </w:divBdr>
      <w:divsChild>
        <w:div w:id="1813861512">
          <w:marLeft w:val="0"/>
          <w:marRight w:val="0"/>
          <w:marTop w:val="0"/>
          <w:marBottom w:val="0"/>
          <w:divBdr>
            <w:top w:val="none" w:sz="0" w:space="0" w:color="auto"/>
            <w:left w:val="none" w:sz="0" w:space="0" w:color="auto"/>
            <w:bottom w:val="none" w:sz="0" w:space="0" w:color="auto"/>
            <w:right w:val="none" w:sz="0" w:space="0" w:color="auto"/>
          </w:divBdr>
        </w:div>
      </w:divsChild>
    </w:div>
    <w:div w:id="64575021">
      <w:bodyDiv w:val="1"/>
      <w:marLeft w:val="0"/>
      <w:marRight w:val="0"/>
      <w:marTop w:val="0"/>
      <w:marBottom w:val="0"/>
      <w:divBdr>
        <w:top w:val="none" w:sz="0" w:space="0" w:color="auto"/>
        <w:left w:val="none" w:sz="0" w:space="0" w:color="auto"/>
        <w:bottom w:val="none" w:sz="0" w:space="0" w:color="auto"/>
        <w:right w:val="none" w:sz="0" w:space="0" w:color="auto"/>
      </w:divBdr>
    </w:div>
    <w:div w:id="94329347">
      <w:bodyDiv w:val="1"/>
      <w:marLeft w:val="0"/>
      <w:marRight w:val="0"/>
      <w:marTop w:val="0"/>
      <w:marBottom w:val="0"/>
      <w:divBdr>
        <w:top w:val="none" w:sz="0" w:space="0" w:color="auto"/>
        <w:left w:val="none" w:sz="0" w:space="0" w:color="auto"/>
        <w:bottom w:val="none" w:sz="0" w:space="0" w:color="auto"/>
        <w:right w:val="none" w:sz="0" w:space="0" w:color="auto"/>
      </w:divBdr>
      <w:divsChild>
        <w:div w:id="733427772">
          <w:marLeft w:val="547"/>
          <w:marRight w:val="0"/>
          <w:marTop w:val="94"/>
          <w:marBottom w:val="0"/>
          <w:divBdr>
            <w:top w:val="none" w:sz="0" w:space="0" w:color="auto"/>
            <w:left w:val="none" w:sz="0" w:space="0" w:color="auto"/>
            <w:bottom w:val="none" w:sz="0" w:space="0" w:color="auto"/>
            <w:right w:val="none" w:sz="0" w:space="0" w:color="auto"/>
          </w:divBdr>
        </w:div>
        <w:div w:id="1240023545">
          <w:marLeft w:val="547"/>
          <w:marRight w:val="0"/>
          <w:marTop w:val="94"/>
          <w:marBottom w:val="0"/>
          <w:divBdr>
            <w:top w:val="none" w:sz="0" w:space="0" w:color="auto"/>
            <w:left w:val="none" w:sz="0" w:space="0" w:color="auto"/>
            <w:bottom w:val="none" w:sz="0" w:space="0" w:color="auto"/>
            <w:right w:val="none" w:sz="0" w:space="0" w:color="auto"/>
          </w:divBdr>
        </w:div>
        <w:div w:id="1739857574">
          <w:marLeft w:val="547"/>
          <w:marRight w:val="0"/>
          <w:marTop w:val="94"/>
          <w:marBottom w:val="0"/>
          <w:divBdr>
            <w:top w:val="none" w:sz="0" w:space="0" w:color="auto"/>
            <w:left w:val="none" w:sz="0" w:space="0" w:color="auto"/>
            <w:bottom w:val="none" w:sz="0" w:space="0" w:color="auto"/>
            <w:right w:val="none" w:sz="0" w:space="0" w:color="auto"/>
          </w:divBdr>
        </w:div>
      </w:divsChild>
    </w:div>
    <w:div w:id="146089392">
      <w:bodyDiv w:val="1"/>
      <w:marLeft w:val="0"/>
      <w:marRight w:val="0"/>
      <w:marTop w:val="0"/>
      <w:marBottom w:val="0"/>
      <w:divBdr>
        <w:top w:val="none" w:sz="0" w:space="0" w:color="auto"/>
        <w:left w:val="none" w:sz="0" w:space="0" w:color="auto"/>
        <w:bottom w:val="none" w:sz="0" w:space="0" w:color="auto"/>
        <w:right w:val="none" w:sz="0" w:space="0" w:color="auto"/>
      </w:divBdr>
    </w:div>
    <w:div w:id="424812545">
      <w:bodyDiv w:val="1"/>
      <w:marLeft w:val="0"/>
      <w:marRight w:val="0"/>
      <w:marTop w:val="0"/>
      <w:marBottom w:val="0"/>
      <w:divBdr>
        <w:top w:val="none" w:sz="0" w:space="0" w:color="auto"/>
        <w:left w:val="none" w:sz="0" w:space="0" w:color="auto"/>
        <w:bottom w:val="none" w:sz="0" w:space="0" w:color="auto"/>
        <w:right w:val="none" w:sz="0" w:space="0" w:color="auto"/>
      </w:divBdr>
    </w:div>
    <w:div w:id="497429663">
      <w:bodyDiv w:val="1"/>
      <w:marLeft w:val="0"/>
      <w:marRight w:val="0"/>
      <w:marTop w:val="0"/>
      <w:marBottom w:val="0"/>
      <w:divBdr>
        <w:top w:val="none" w:sz="0" w:space="0" w:color="auto"/>
        <w:left w:val="none" w:sz="0" w:space="0" w:color="auto"/>
        <w:bottom w:val="none" w:sz="0" w:space="0" w:color="auto"/>
        <w:right w:val="none" w:sz="0" w:space="0" w:color="auto"/>
      </w:divBdr>
    </w:div>
    <w:div w:id="623079667">
      <w:bodyDiv w:val="1"/>
      <w:marLeft w:val="0"/>
      <w:marRight w:val="0"/>
      <w:marTop w:val="0"/>
      <w:marBottom w:val="0"/>
      <w:divBdr>
        <w:top w:val="none" w:sz="0" w:space="0" w:color="auto"/>
        <w:left w:val="none" w:sz="0" w:space="0" w:color="auto"/>
        <w:bottom w:val="none" w:sz="0" w:space="0" w:color="auto"/>
        <w:right w:val="none" w:sz="0" w:space="0" w:color="auto"/>
      </w:divBdr>
    </w:div>
    <w:div w:id="638996316">
      <w:bodyDiv w:val="1"/>
      <w:marLeft w:val="0"/>
      <w:marRight w:val="0"/>
      <w:marTop w:val="0"/>
      <w:marBottom w:val="0"/>
      <w:divBdr>
        <w:top w:val="none" w:sz="0" w:space="0" w:color="auto"/>
        <w:left w:val="none" w:sz="0" w:space="0" w:color="auto"/>
        <w:bottom w:val="none" w:sz="0" w:space="0" w:color="auto"/>
        <w:right w:val="none" w:sz="0" w:space="0" w:color="auto"/>
      </w:divBdr>
      <w:divsChild>
        <w:div w:id="1491091458">
          <w:marLeft w:val="0"/>
          <w:marRight w:val="0"/>
          <w:marTop w:val="0"/>
          <w:marBottom w:val="0"/>
          <w:divBdr>
            <w:top w:val="none" w:sz="0" w:space="0" w:color="auto"/>
            <w:left w:val="none" w:sz="0" w:space="0" w:color="auto"/>
            <w:bottom w:val="none" w:sz="0" w:space="0" w:color="auto"/>
            <w:right w:val="none" w:sz="0" w:space="0" w:color="auto"/>
          </w:divBdr>
        </w:div>
      </w:divsChild>
    </w:div>
    <w:div w:id="790592532">
      <w:bodyDiv w:val="1"/>
      <w:marLeft w:val="0"/>
      <w:marRight w:val="0"/>
      <w:marTop w:val="0"/>
      <w:marBottom w:val="0"/>
      <w:divBdr>
        <w:top w:val="none" w:sz="0" w:space="0" w:color="auto"/>
        <w:left w:val="none" w:sz="0" w:space="0" w:color="auto"/>
        <w:bottom w:val="none" w:sz="0" w:space="0" w:color="auto"/>
        <w:right w:val="none" w:sz="0" w:space="0" w:color="auto"/>
      </w:divBdr>
    </w:div>
    <w:div w:id="868183540">
      <w:bodyDiv w:val="1"/>
      <w:marLeft w:val="0"/>
      <w:marRight w:val="0"/>
      <w:marTop w:val="0"/>
      <w:marBottom w:val="0"/>
      <w:divBdr>
        <w:top w:val="none" w:sz="0" w:space="0" w:color="auto"/>
        <w:left w:val="none" w:sz="0" w:space="0" w:color="auto"/>
        <w:bottom w:val="none" w:sz="0" w:space="0" w:color="auto"/>
        <w:right w:val="none" w:sz="0" w:space="0" w:color="auto"/>
      </w:divBdr>
    </w:div>
    <w:div w:id="928583463">
      <w:bodyDiv w:val="1"/>
      <w:marLeft w:val="0"/>
      <w:marRight w:val="0"/>
      <w:marTop w:val="0"/>
      <w:marBottom w:val="0"/>
      <w:divBdr>
        <w:top w:val="none" w:sz="0" w:space="0" w:color="auto"/>
        <w:left w:val="none" w:sz="0" w:space="0" w:color="auto"/>
        <w:bottom w:val="none" w:sz="0" w:space="0" w:color="auto"/>
        <w:right w:val="none" w:sz="0" w:space="0" w:color="auto"/>
      </w:divBdr>
      <w:divsChild>
        <w:div w:id="1462455036">
          <w:marLeft w:val="0"/>
          <w:marRight w:val="0"/>
          <w:marTop w:val="0"/>
          <w:marBottom w:val="0"/>
          <w:divBdr>
            <w:top w:val="none" w:sz="0" w:space="0" w:color="auto"/>
            <w:left w:val="none" w:sz="0" w:space="0" w:color="auto"/>
            <w:bottom w:val="none" w:sz="0" w:space="0" w:color="auto"/>
            <w:right w:val="none" w:sz="0" w:space="0" w:color="auto"/>
          </w:divBdr>
        </w:div>
      </w:divsChild>
    </w:div>
    <w:div w:id="994645435">
      <w:bodyDiv w:val="1"/>
      <w:marLeft w:val="0"/>
      <w:marRight w:val="0"/>
      <w:marTop w:val="0"/>
      <w:marBottom w:val="0"/>
      <w:divBdr>
        <w:top w:val="none" w:sz="0" w:space="0" w:color="auto"/>
        <w:left w:val="none" w:sz="0" w:space="0" w:color="auto"/>
        <w:bottom w:val="none" w:sz="0" w:space="0" w:color="auto"/>
        <w:right w:val="none" w:sz="0" w:space="0" w:color="auto"/>
      </w:divBdr>
    </w:div>
    <w:div w:id="1026322467">
      <w:bodyDiv w:val="1"/>
      <w:marLeft w:val="0"/>
      <w:marRight w:val="0"/>
      <w:marTop w:val="0"/>
      <w:marBottom w:val="0"/>
      <w:divBdr>
        <w:top w:val="none" w:sz="0" w:space="0" w:color="auto"/>
        <w:left w:val="none" w:sz="0" w:space="0" w:color="auto"/>
        <w:bottom w:val="none" w:sz="0" w:space="0" w:color="auto"/>
        <w:right w:val="none" w:sz="0" w:space="0" w:color="auto"/>
      </w:divBdr>
    </w:div>
    <w:div w:id="1276525663">
      <w:bodyDiv w:val="1"/>
      <w:marLeft w:val="0"/>
      <w:marRight w:val="0"/>
      <w:marTop w:val="0"/>
      <w:marBottom w:val="0"/>
      <w:divBdr>
        <w:top w:val="none" w:sz="0" w:space="0" w:color="auto"/>
        <w:left w:val="none" w:sz="0" w:space="0" w:color="auto"/>
        <w:bottom w:val="none" w:sz="0" w:space="0" w:color="auto"/>
        <w:right w:val="none" w:sz="0" w:space="0" w:color="auto"/>
      </w:divBdr>
    </w:div>
    <w:div w:id="1318535531">
      <w:bodyDiv w:val="1"/>
      <w:marLeft w:val="0"/>
      <w:marRight w:val="0"/>
      <w:marTop w:val="0"/>
      <w:marBottom w:val="0"/>
      <w:divBdr>
        <w:top w:val="none" w:sz="0" w:space="0" w:color="auto"/>
        <w:left w:val="none" w:sz="0" w:space="0" w:color="auto"/>
        <w:bottom w:val="none" w:sz="0" w:space="0" w:color="auto"/>
        <w:right w:val="none" w:sz="0" w:space="0" w:color="auto"/>
      </w:divBdr>
      <w:divsChild>
        <w:div w:id="1086346568">
          <w:marLeft w:val="0"/>
          <w:marRight w:val="0"/>
          <w:marTop w:val="0"/>
          <w:marBottom w:val="0"/>
          <w:divBdr>
            <w:top w:val="none" w:sz="0" w:space="0" w:color="auto"/>
            <w:left w:val="none" w:sz="0" w:space="0" w:color="auto"/>
            <w:bottom w:val="none" w:sz="0" w:space="0" w:color="auto"/>
            <w:right w:val="none" w:sz="0" w:space="0" w:color="auto"/>
          </w:divBdr>
        </w:div>
      </w:divsChild>
    </w:div>
    <w:div w:id="1382439342">
      <w:bodyDiv w:val="1"/>
      <w:marLeft w:val="0"/>
      <w:marRight w:val="0"/>
      <w:marTop w:val="0"/>
      <w:marBottom w:val="0"/>
      <w:divBdr>
        <w:top w:val="none" w:sz="0" w:space="0" w:color="auto"/>
        <w:left w:val="none" w:sz="0" w:space="0" w:color="auto"/>
        <w:bottom w:val="none" w:sz="0" w:space="0" w:color="auto"/>
        <w:right w:val="none" w:sz="0" w:space="0" w:color="auto"/>
      </w:divBdr>
    </w:div>
    <w:div w:id="1425566581">
      <w:bodyDiv w:val="1"/>
      <w:marLeft w:val="0"/>
      <w:marRight w:val="0"/>
      <w:marTop w:val="0"/>
      <w:marBottom w:val="0"/>
      <w:divBdr>
        <w:top w:val="none" w:sz="0" w:space="0" w:color="auto"/>
        <w:left w:val="none" w:sz="0" w:space="0" w:color="auto"/>
        <w:bottom w:val="none" w:sz="0" w:space="0" w:color="auto"/>
        <w:right w:val="none" w:sz="0" w:space="0" w:color="auto"/>
      </w:divBdr>
      <w:divsChild>
        <w:div w:id="915171543">
          <w:marLeft w:val="0"/>
          <w:marRight w:val="0"/>
          <w:marTop w:val="0"/>
          <w:marBottom w:val="0"/>
          <w:divBdr>
            <w:top w:val="none" w:sz="0" w:space="0" w:color="auto"/>
            <w:left w:val="none" w:sz="0" w:space="0" w:color="auto"/>
            <w:bottom w:val="none" w:sz="0" w:space="0" w:color="auto"/>
            <w:right w:val="none" w:sz="0" w:space="0" w:color="auto"/>
          </w:divBdr>
        </w:div>
        <w:div w:id="565989637">
          <w:marLeft w:val="0"/>
          <w:marRight w:val="0"/>
          <w:marTop w:val="0"/>
          <w:marBottom w:val="0"/>
          <w:divBdr>
            <w:top w:val="none" w:sz="0" w:space="0" w:color="auto"/>
            <w:left w:val="none" w:sz="0" w:space="0" w:color="auto"/>
            <w:bottom w:val="none" w:sz="0" w:space="0" w:color="auto"/>
            <w:right w:val="none" w:sz="0" w:space="0" w:color="auto"/>
          </w:divBdr>
        </w:div>
      </w:divsChild>
    </w:div>
    <w:div w:id="1704402167">
      <w:bodyDiv w:val="1"/>
      <w:marLeft w:val="0"/>
      <w:marRight w:val="0"/>
      <w:marTop w:val="0"/>
      <w:marBottom w:val="0"/>
      <w:divBdr>
        <w:top w:val="none" w:sz="0" w:space="0" w:color="auto"/>
        <w:left w:val="none" w:sz="0" w:space="0" w:color="auto"/>
        <w:bottom w:val="none" w:sz="0" w:space="0" w:color="auto"/>
        <w:right w:val="none" w:sz="0" w:space="0" w:color="auto"/>
      </w:divBdr>
    </w:div>
    <w:div w:id="1709142170">
      <w:bodyDiv w:val="1"/>
      <w:marLeft w:val="0"/>
      <w:marRight w:val="0"/>
      <w:marTop w:val="0"/>
      <w:marBottom w:val="0"/>
      <w:divBdr>
        <w:top w:val="none" w:sz="0" w:space="0" w:color="auto"/>
        <w:left w:val="none" w:sz="0" w:space="0" w:color="auto"/>
        <w:bottom w:val="none" w:sz="0" w:space="0" w:color="auto"/>
        <w:right w:val="none" w:sz="0" w:space="0" w:color="auto"/>
      </w:divBdr>
    </w:div>
    <w:div w:id="1715234146">
      <w:bodyDiv w:val="1"/>
      <w:marLeft w:val="0"/>
      <w:marRight w:val="0"/>
      <w:marTop w:val="0"/>
      <w:marBottom w:val="0"/>
      <w:divBdr>
        <w:top w:val="none" w:sz="0" w:space="0" w:color="auto"/>
        <w:left w:val="none" w:sz="0" w:space="0" w:color="auto"/>
        <w:bottom w:val="none" w:sz="0" w:space="0" w:color="auto"/>
        <w:right w:val="none" w:sz="0" w:space="0" w:color="auto"/>
      </w:divBdr>
    </w:div>
    <w:div w:id="1752045692">
      <w:bodyDiv w:val="1"/>
      <w:marLeft w:val="0"/>
      <w:marRight w:val="0"/>
      <w:marTop w:val="0"/>
      <w:marBottom w:val="0"/>
      <w:divBdr>
        <w:top w:val="none" w:sz="0" w:space="0" w:color="auto"/>
        <w:left w:val="none" w:sz="0" w:space="0" w:color="auto"/>
        <w:bottom w:val="none" w:sz="0" w:space="0" w:color="auto"/>
        <w:right w:val="none" w:sz="0" w:space="0" w:color="auto"/>
      </w:divBdr>
    </w:div>
    <w:div w:id="1811749123">
      <w:bodyDiv w:val="1"/>
      <w:marLeft w:val="0"/>
      <w:marRight w:val="0"/>
      <w:marTop w:val="0"/>
      <w:marBottom w:val="0"/>
      <w:divBdr>
        <w:top w:val="none" w:sz="0" w:space="0" w:color="auto"/>
        <w:left w:val="none" w:sz="0" w:space="0" w:color="auto"/>
        <w:bottom w:val="none" w:sz="0" w:space="0" w:color="auto"/>
        <w:right w:val="none" w:sz="0" w:space="0" w:color="auto"/>
      </w:divBdr>
    </w:div>
    <w:div w:id="1852647162">
      <w:bodyDiv w:val="1"/>
      <w:marLeft w:val="0"/>
      <w:marRight w:val="0"/>
      <w:marTop w:val="0"/>
      <w:marBottom w:val="0"/>
      <w:divBdr>
        <w:top w:val="none" w:sz="0" w:space="0" w:color="auto"/>
        <w:left w:val="none" w:sz="0" w:space="0" w:color="auto"/>
        <w:bottom w:val="none" w:sz="0" w:space="0" w:color="auto"/>
        <w:right w:val="none" w:sz="0" w:space="0" w:color="auto"/>
      </w:divBdr>
      <w:divsChild>
        <w:div w:id="328409063">
          <w:marLeft w:val="0"/>
          <w:marRight w:val="0"/>
          <w:marTop w:val="0"/>
          <w:marBottom w:val="0"/>
          <w:divBdr>
            <w:top w:val="none" w:sz="0" w:space="0" w:color="auto"/>
            <w:left w:val="none" w:sz="0" w:space="0" w:color="auto"/>
            <w:bottom w:val="none" w:sz="0" w:space="0" w:color="auto"/>
            <w:right w:val="none" w:sz="0" w:space="0" w:color="auto"/>
          </w:divBdr>
        </w:div>
      </w:divsChild>
    </w:div>
    <w:div w:id="1889106623">
      <w:bodyDiv w:val="1"/>
      <w:marLeft w:val="0"/>
      <w:marRight w:val="0"/>
      <w:marTop w:val="0"/>
      <w:marBottom w:val="0"/>
      <w:divBdr>
        <w:top w:val="none" w:sz="0" w:space="0" w:color="auto"/>
        <w:left w:val="none" w:sz="0" w:space="0" w:color="auto"/>
        <w:bottom w:val="none" w:sz="0" w:space="0" w:color="auto"/>
        <w:right w:val="none" w:sz="0" w:space="0" w:color="auto"/>
      </w:divBdr>
      <w:divsChild>
        <w:div w:id="2101096832">
          <w:marLeft w:val="547"/>
          <w:marRight w:val="0"/>
          <w:marTop w:val="200"/>
          <w:marBottom w:val="0"/>
          <w:divBdr>
            <w:top w:val="none" w:sz="0" w:space="0" w:color="auto"/>
            <w:left w:val="none" w:sz="0" w:space="0" w:color="auto"/>
            <w:bottom w:val="none" w:sz="0" w:space="0" w:color="auto"/>
            <w:right w:val="none" w:sz="0" w:space="0" w:color="auto"/>
          </w:divBdr>
        </w:div>
        <w:div w:id="1014651866">
          <w:marLeft w:val="547"/>
          <w:marRight w:val="0"/>
          <w:marTop w:val="200"/>
          <w:marBottom w:val="0"/>
          <w:divBdr>
            <w:top w:val="none" w:sz="0" w:space="0" w:color="auto"/>
            <w:left w:val="none" w:sz="0" w:space="0" w:color="auto"/>
            <w:bottom w:val="none" w:sz="0" w:space="0" w:color="auto"/>
            <w:right w:val="none" w:sz="0" w:space="0" w:color="auto"/>
          </w:divBdr>
        </w:div>
      </w:divsChild>
    </w:div>
    <w:div w:id="1902253779">
      <w:bodyDiv w:val="1"/>
      <w:marLeft w:val="0"/>
      <w:marRight w:val="0"/>
      <w:marTop w:val="0"/>
      <w:marBottom w:val="0"/>
      <w:divBdr>
        <w:top w:val="none" w:sz="0" w:space="0" w:color="auto"/>
        <w:left w:val="none" w:sz="0" w:space="0" w:color="auto"/>
        <w:bottom w:val="none" w:sz="0" w:space="0" w:color="auto"/>
        <w:right w:val="none" w:sz="0" w:space="0" w:color="auto"/>
      </w:divBdr>
    </w:div>
    <w:div w:id="1921059696">
      <w:bodyDiv w:val="1"/>
      <w:marLeft w:val="0"/>
      <w:marRight w:val="0"/>
      <w:marTop w:val="0"/>
      <w:marBottom w:val="0"/>
      <w:divBdr>
        <w:top w:val="none" w:sz="0" w:space="0" w:color="auto"/>
        <w:left w:val="none" w:sz="0" w:space="0" w:color="auto"/>
        <w:bottom w:val="none" w:sz="0" w:space="0" w:color="auto"/>
        <w:right w:val="none" w:sz="0" w:space="0" w:color="auto"/>
      </w:divBdr>
    </w:div>
    <w:div w:id="1944069863">
      <w:bodyDiv w:val="1"/>
      <w:marLeft w:val="0"/>
      <w:marRight w:val="0"/>
      <w:marTop w:val="0"/>
      <w:marBottom w:val="0"/>
      <w:divBdr>
        <w:top w:val="none" w:sz="0" w:space="0" w:color="auto"/>
        <w:left w:val="none" w:sz="0" w:space="0" w:color="auto"/>
        <w:bottom w:val="none" w:sz="0" w:space="0" w:color="auto"/>
        <w:right w:val="none" w:sz="0" w:space="0" w:color="auto"/>
      </w:divBdr>
    </w:div>
    <w:div w:id="1996954311">
      <w:bodyDiv w:val="1"/>
      <w:marLeft w:val="0"/>
      <w:marRight w:val="0"/>
      <w:marTop w:val="0"/>
      <w:marBottom w:val="0"/>
      <w:divBdr>
        <w:top w:val="none" w:sz="0" w:space="0" w:color="auto"/>
        <w:left w:val="none" w:sz="0" w:space="0" w:color="auto"/>
        <w:bottom w:val="none" w:sz="0" w:space="0" w:color="auto"/>
        <w:right w:val="none" w:sz="0" w:space="0" w:color="auto"/>
      </w:divBdr>
    </w:div>
    <w:div w:id="2097896264">
      <w:bodyDiv w:val="1"/>
      <w:marLeft w:val="0"/>
      <w:marRight w:val="0"/>
      <w:marTop w:val="0"/>
      <w:marBottom w:val="0"/>
      <w:divBdr>
        <w:top w:val="none" w:sz="0" w:space="0" w:color="auto"/>
        <w:left w:val="none" w:sz="0" w:space="0" w:color="auto"/>
        <w:bottom w:val="none" w:sz="0" w:space="0" w:color="auto"/>
        <w:right w:val="none" w:sz="0" w:space="0" w:color="auto"/>
      </w:divBdr>
    </w:div>
    <w:div w:id="2146501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asmin.goeg.at/id/eprint/2391/" TargetMode="External"/><Relationship Id="rId21" Type="http://schemas.openxmlformats.org/officeDocument/2006/relationships/image" Target="media/image10.png"/><Relationship Id="rId42" Type="http://schemas.openxmlformats.org/officeDocument/2006/relationships/hyperlink" Target="https://www.awmf.org/regelwerk/" TargetMode="External"/><Relationship Id="rId47" Type="http://schemas.openxmlformats.org/officeDocument/2006/relationships/hyperlink" Target="https://www.ncbi.nlm.nih.gov/books/NBK195726/pdf/Bookshelf_NBK195726.pdf" TargetMode="External"/><Relationship Id="rId63" Type="http://schemas.openxmlformats.org/officeDocument/2006/relationships/hyperlink" Target="https://zenodo.org/record/6572802" TargetMode="External"/><Relationship Id="rId68" Type="http://schemas.openxmlformats.org/officeDocument/2006/relationships/hyperlink" Target="https://www.ris.bka.gv.at/GeltendeFassung.wxe?Abfrage=Bundesnormen&amp;Gesetzesnummer=20008120" TargetMode="External"/><Relationship Id="rId84" Type="http://schemas.openxmlformats.org/officeDocument/2006/relationships/image" Target="media/image16.png"/><Relationship Id="rId89" Type="http://schemas.openxmlformats.org/officeDocument/2006/relationships/hyperlink" Target="https://thenounproject.com/icon/treatment-plan-1958107/" TargetMode="External"/><Relationship Id="rId16" Type="http://schemas.openxmlformats.org/officeDocument/2006/relationships/image" Target="media/image5.png"/><Relationship Id="rId11" Type="http://schemas.openxmlformats.org/officeDocument/2006/relationships/footer" Target="footer2.xml"/><Relationship Id="rId32" Type="http://schemas.openxmlformats.org/officeDocument/2006/relationships/hyperlink" Target="http://tripdatabase.com/" TargetMode="External"/><Relationship Id="rId37" Type="http://schemas.openxmlformats.org/officeDocument/2006/relationships/hyperlink" Target="https://doi.org/10.1111/ddg.13512" TargetMode="External"/><Relationship Id="rId53" Type="http://schemas.openxmlformats.org/officeDocument/2006/relationships/hyperlink" Target="https://internationalguideline.com/s/CPG2019edition-digital-Nov2023version.pdf" TargetMode="External"/><Relationship Id="rId58" Type="http://schemas.openxmlformats.org/officeDocument/2006/relationships/hyperlink" Target="https://bmjopen.bmj.com/content/10/12/e045253.long" TargetMode="External"/><Relationship Id="rId74" Type="http://schemas.openxmlformats.org/officeDocument/2006/relationships/hyperlink" Target="https://ebooks.iospress.nl/bookseries/studies-in-health-technology-and-informatics" TargetMode="External"/><Relationship Id="rId79" Type="http://schemas.openxmlformats.org/officeDocument/2006/relationships/hyperlink" Target="https://thenounproject.com/icon/prevention-6874728/" TargetMode="External"/><Relationship Id="rId102" Type="http://schemas.openxmlformats.org/officeDocument/2006/relationships/glossaryDocument" Target="glossary/document.xml"/><Relationship Id="rId5" Type="http://schemas.openxmlformats.org/officeDocument/2006/relationships/settings" Target="settings.xml"/><Relationship Id="rId90" Type="http://schemas.openxmlformats.org/officeDocument/2006/relationships/hyperlink" Target="https://thenounproject.com/icon/patient-information-3382167/" TargetMode="External"/><Relationship Id="rId95" Type="http://schemas.openxmlformats.org/officeDocument/2006/relationships/hyperlink" Target="https://thenounproject.com/" TargetMode="External"/><Relationship Id="rId22" Type="http://schemas.openxmlformats.org/officeDocument/2006/relationships/image" Target="media/image11.png"/><Relationship Id="rId27" Type="http://schemas.openxmlformats.org/officeDocument/2006/relationships/hyperlink" Target="https://jasmin.goeg.at/id/eprint/2390/" TargetMode="External"/><Relationship Id="rId43" Type="http://schemas.openxmlformats.org/officeDocument/2006/relationships/hyperlink" Target="https://www.sozialministerium.at/Themen/Gesundheit/Gesundheitssystem/Gesundheitssystem-und-Qualitaetssicherung/Qualitaetsstandards/Qualitaetsstandards-gemaess-Gesundheitsqualitaetsgesetz.html" TargetMode="External"/><Relationship Id="rId48" Type="http://schemas.openxmlformats.org/officeDocument/2006/relationships/hyperlink" Target="https://doi.org/10.1089/wound.2018.0925" TargetMode="External"/><Relationship Id="rId64" Type="http://schemas.openxmlformats.org/officeDocument/2006/relationships/hyperlink" Target="https://doi.org/10.2340/00015555-2786" TargetMode="External"/><Relationship Id="rId69" Type="http://schemas.openxmlformats.org/officeDocument/2006/relationships/hyperlink" Target="https://safw.ch/images/pdf/2.11%20SAfW_Anerkennung%20Wundzentren_Anforderungskatalog_2025.pdf" TargetMode="External"/><Relationship Id="rId80" Type="http://schemas.openxmlformats.org/officeDocument/2006/relationships/hyperlink" Target="https://thenounproject.com/grega.cresnar/uploads/?i=225910" TargetMode="External"/><Relationship Id="rId85" Type="http://schemas.openxmlformats.org/officeDocument/2006/relationships/hyperlink" Target="https://thenounproject.com/icon/documentation-884660/" TargetMode="Externa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footer" Target="footer5.xml"/><Relationship Id="rId33" Type="http://schemas.openxmlformats.org/officeDocument/2006/relationships/hyperlink" Target="http://www.ncbi.nlm.nih.gov/pubmed/" TargetMode="External"/><Relationship Id="rId38" Type="http://schemas.openxmlformats.org/officeDocument/2006/relationships/hyperlink" Target="https://register.awmf.org/assets/guidelines/013-097l_S2k_Teledermatologie_2024-11-verlaengert.pdf" TargetMode="External"/><Relationship Id="rId46" Type="http://schemas.openxmlformats.org/officeDocument/2006/relationships/hyperlink" Target="https://www.cmaj.ca/content/182/18/e839" TargetMode="External"/><Relationship Id="rId59" Type="http://schemas.openxmlformats.org/officeDocument/2006/relationships/hyperlink" Target="https://doi.org/10.1111/iwj.12603" TargetMode="External"/><Relationship Id="rId67" Type="http://schemas.openxmlformats.org/officeDocument/2006/relationships/hyperlink" Target="https://www.sozialministerium.at/Themen/Gesundheit/Gesundheitssystem/Gesundheitssystem-und-Qualitaetssicherung/Planung-und-spezielle-Versorgungsbereiche/Der-%C3%96sterreichische-Strukturplan-Gesundheit-%E2%80%93-%C3%96SG.html" TargetMode="External"/><Relationship Id="rId103"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hyperlink" Target="https://register.awmf.org/assets/guidelines/065-003l_S3_Diagnostik-Therapie-Nachsorge-periphere-arterielle-Verschlusskrankheit_2024-11_2.pdf" TargetMode="External"/><Relationship Id="rId54" Type="http://schemas.openxmlformats.org/officeDocument/2006/relationships/hyperlink" Target="https://doi.org/10.1111/wrr.12994" TargetMode="External"/><Relationship Id="rId62" Type="http://schemas.openxmlformats.org/officeDocument/2006/relationships/hyperlink" Target="https://www.pmvforschungsgruppe.de/" TargetMode="External"/><Relationship Id="rId70" Type="http://schemas.openxmlformats.org/officeDocument/2006/relationships/hyperlink" Target="https://www.springermedizin.de/emedpedia/dgim-innere-medizin/chronische-venoese-insuffizienz?epediaDoi=10.1007%2F978-3-642-54676-1_353" TargetMode="External"/><Relationship Id="rId75" Type="http://schemas.openxmlformats.org/officeDocument/2006/relationships/hyperlink" Target="https://doi.org/10.3233/SHTI240035" TargetMode="External"/><Relationship Id="rId83" Type="http://schemas.openxmlformats.org/officeDocument/2006/relationships/hyperlink" Target="https://thenounproject.com/icon/wound-7055250/" TargetMode="External"/><Relationship Id="rId88" Type="http://schemas.openxmlformats.org/officeDocument/2006/relationships/hyperlink" Target="https://thenounproject.com/icon/wound-5609135/" TargetMode="External"/><Relationship Id="rId91" Type="http://schemas.openxmlformats.org/officeDocument/2006/relationships/hyperlink" Target="https://thenounproject.com/icon/ankle-foot-orthosis-5147653/"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ewma.org/" TargetMode="External"/><Relationship Id="rId36" Type="http://schemas.openxmlformats.org/officeDocument/2006/relationships/hyperlink" Target="https://aawconline.memberclicks.net/assets/docs/Zakhary-et-al-ICWiGDevValidationOWM-17.pdf" TargetMode="External"/><Relationship Id="rId49" Type="http://schemas.openxmlformats.org/officeDocument/2006/relationships/hyperlink" Target="https://doi.org/10.1111/jocn.17118" TargetMode="External"/><Relationship Id="rId57" Type="http://schemas.openxmlformats.org/officeDocument/2006/relationships/hyperlink" Target="https://doi.org/10.12968/jowc.2020.29.Sup9b.S1" TargetMode="External"/><Relationship Id="rId10" Type="http://schemas.openxmlformats.org/officeDocument/2006/relationships/footer" Target="footer1.xml"/><Relationship Id="rId31" Type="http://schemas.openxmlformats.org/officeDocument/2006/relationships/hyperlink" Target="http://cochranelibrary.com/" TargetMode="External"/><Relationship Id="rId44" Type="http://schemas.openxmlformats.org/officeDocument/2006/relationships/hyperlink" Target="https://goeg.at/Qualitaetsstandard" TargetMode="External"/><Relationship Id="rId52" Type="http://schemas.openxmlformats.org/officeDocument/2006/relationships/hyperlink" Target="https://www.icwunden.de/fileadmin/Fachinfos/Standards/Standards_2020_web.pdf" TargetMode="External"/><Relationship Id="rId60" Type="http://schemas.openxmlformats.org/officeDocument/2006/relationships/hyperlink" Target="https://www.icwunden.de/wpcontent/uploads/2023/09/230803_Broschuere_Standards_Chronische_Wunden.pdf" TargetMode="External"/><Relationship Id="rId65" Type="http://schemas.openxmlformats.org/officeDocument/2006/relationships/hyperlink" Target="https://www.oedg.at/pdf/OEDG-Leitlinien-2023-HighRes.pdf" TargetMode="External"/><Relationship Id="rId73" Type="http://schemas.openxmlformats.org/officeDocument/2006/relationships/hyperlink" Target="https://doi.org/10.1002/dmrr.3652" TargetMode="External"/><Relationship Id="rId78" Type="http://schemas.openxmlformats.org/officeDocument/2006/relationships/hyperlink" Target="https://thenounproject.com/" TargetMode="External"/><Relationship Id="rId81" Type="http://schemas.openxmlformats.org/officeDocument/2006/relationships/hyperlink" Target="https://thenounproject.com/search/?q=pathway&amp;i=1258738" TargetMode="External"/><Relationship Id="rId86" Type="http://schemas.openxmlformats.org/officeDocument/2006/relationships/hyperlink" Target="https://thenounproject.com/icon/unhealed-wound-2767353/" TargetMode="External"/><Relationship Id="rId94" Type="http://schemas.openxmlformats.org/officeDocument/2006/relationships/hyperlink" Target="https://thenounproject.com/icon/benchmarking-5918899/" TargetMode="External"/><Relationship Id="rId99" Type="http://schemas.openxmlformats.org/officeDocument/2006/relationships/footer" Target="footer7.xml"/><Relationship Id="rId10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www.awmf.org/leitlinien/detail/anmeldung/1/ll/091-001.html" TargetMode="External"/><Relationship Id="rId34" Type="http://schemas.openxmlformats.org/officeDocument/2006/relationships/image" Target="media/image13.png"/><Relationship Id="rId50" Type="http://schemas.openxmlformats.org/officeDocument/2006/relationships/hyperlink" Target="https://register.awmf.org/de/leitlinien/detail/065-003" TargetMode="External"/><Relationship Id="rId55" Type="http://schemas.openxmlformats.org/officeDocument/2006/relationships/hyperlink" Target="https://ewma.org/wp-content/uploads/2024/02/EWMA_Debridement__dt_2013.pdf" TargetMode="External"/><Relationship Id="rId76" Type="http://schemas.openxmlformats.org/officeDocument/2006/relationships/hyperlink" Target="https://iris.who.int/bitstream/handle/10665/70185/WHO_HRH_HPN_10.3_eng.pdf;jsessionid=1FA9D2394E1DA8A4A904A7235FAD8AA8?sequence=1" TargetMode="External"/><Relationship Id="rId97"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s://doi.org/10.1097/WON.0000000000000414" TargetMode="External"/><Relationship Id="rId92" Type="http://schemas.openxmlformats.org/officeDocument/2006/relationships/hyperlink" Target="https://thenounproject.com/icon/telemedicine-4051911/" TargetMode="External"/><Relationship Id="rId2" Type="http://schemas.openxmlformats.org/officeDocument/2006/relationships/customXml" Target="../customXml/item2.xml"/><Relationship Id="rId29" Type="http://schemas.openxmlformats.org/officeDocument/2006/relationships/hyperlink" Target="https://jasmin.goeg.at/id/eprint/2391/" TargetMode="External"/><Relationship Id="rId24" Type="http://schemas.openxmlformats.org/officeDocument/2006/relationships/footer" Target="footer4.xml"/><Relationship Id="rId40" Type="http://schemas.openxmlformats.org/officeDocument/2006/relationships/hyperlink" Target="https://register.awmf.org/assets/guidelines/037-009l_S2k_Diagnostik-Therapie-Ulcus-cruris-venosum__2024-01_1.pdf" TargetMode="External"/><Relationship Id="rId45" Type="http://schemas.openxmlformats.org/officeDocument/2006/relationships/hyperlink" Target="https://www.sozialministerium.at/Themen/Gesundheit/Gesundheitssystem/Gesundheitssystem-und-Qualitaetssicherung/Qualitaetsstandards/Qualitaetsstandards-gemaess-Gesundheitsqualitaetsgesetz.html" TargetMode="External"/><Relationship Id="rId66" Type="http://schemas.openxmlformats.org/officeDocument/2006/relationships/hyperlink" Target="http://www.oegdc.at/pat_chronische_wunden.html" TargetMode="External"/><Relationship Id="rId87" Type="http://schemas.openxmlformats.org/officeDocument/2006/relationships/hyperlink" Target="https://thenounproject.com/creator/romadhoni3100/" TargetMode="External"/><Relationship Id="rId61" Type="http://schemas.openxmlformats.org/officeDocument/2006/relationships/hyperlink" Target="https://iwgdfguidelines.org/wp-content/uploads/2019/05/IWGDF-Guidelines-2019.pdf" TargetMode="External"/><Relationship Id="rId82" Type="http://schemas.openxmlformats.org/officeDocument/2006/relationships/image" Target="media/image15.png"/><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hyperlink" Target="https://jasmin.goeg.at/id/eprint/2390/" TargetMode="External"/><Relationship Id="rId35" Type="http://schemas.openxmlformats.org/officeDocument/2006/relationships/image" Target="media/image14.png"/><Relationship Id="rId56" Type="http://schemas.openxmlformats.org/officeDocument/2006/relationships/hyperlink" Target="https://doi.org/10.1016/j.jgar.2021.05.010" TargetMode="External"/><Relationship Id="rId77" Type="http://schemas.openxmlformats.org/officeDocument/2006/relationships/hyperlink" Target="https://www.icd-code.de/icd/code/L89.-.html" TargetMode="External"/><Relationship Id="rId100"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www.pschyrembel.de/Chronische%20Wunde/B0S45" TargetMode="External"/><Relationship Id="rId72" Type="http://schemas.openxmlformats.org/officeDocument/2006/relationships/hyperlink" Target="https://www.akademie-zwm.ch/uploads/media/tuev_system_standard.pdf" TargetMode="External"/><Relationship Id="rId93" Type="http://schemas.openxmlformats.org/officeDocument/2006/relationships/image" Target="media/image17.png"/><Relationship Id="rId98" Type="http://schemas.openxmlformats.org/officeDocument/2006/relationships/footer" Target="footer6.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F7930EA0424ABD8A71317E1C34FDCC"/>
        <w:category>
          <w:name w:val="Allgemein"/>
          <w:gallery w:val="placeholder"/>
        </w:category>
        <w:types>
          <w:type w:val="bbPlcHdr"/>
        </w:types>
        <w:behaviors>
          <w:behavior w:val="content"/>
        </w:behaviors>
        <w:guid w:val="{72E54329-882E-4737-9E9A-D5FF2CAFBB96}"/>
      </w:docPartPr>
      <w:docPartBody>
        <w:p w:rsidR="00232A18" w:rsidRDefault="00232A18">
          <w:pPr>
            <w:pStyle w:val="C1F7930EA0424ABD8A71317E1C34FDCC"/>
          </w:pPr>
          <w:r>
            <w:rPr>
              <w:rStyle w:val="Platzhaltertext"/>
            </w:rPr>
            <w:t>[Element auswählen oder überschreiben]</w:t>
          </w:r>
        </w:p>
      </w:docPartBody>
    </w:docPart>
    <w:docPart>
      <w:docPartPr>
        <w:name w:val="32242B522D164D47B54FB4381FC60FCA"/>
        <w:category>
          <w:name w:val="Allgemein"/>
          <w:gallery w:val="placeholder"/>
        </w:category>
        <w:types>
          <w:type w:val="bbPlcHdr"/>
        </w:types>
        <w:behaviors>
          <w:behavior w:val="content"/>
        </w:behaviors>
        <w:guid w:val="{9D4817EB-C478-4416-B48A-7FE438A8827A}"/>
      </w:docPartPr>
      <w:docPartBody>
        <w:p w:rsidR="00232A18" w:rsidRDefault="00232A18">
          <w:pPr>
            <w:pStyle w:val="32242B522D164D47B54FB4381FC60FCA"/>
          </w:pPr>
          <w:r>
            <w:rPr>
              <w:rStyle w:val="Platzhaltertext"/>
            </w:rPr>
            <w:t>Klicken Sie hier, um ein Datum einzugeben.</w:t>
          </w:r>
        </w:p>
      </w:docPartBody>
    </w:docPart>
    <w:docPart>
      <w:docPartPr>
        <w:name w:val="E9145FE808764853821295ADBFAF9D24"/>
        <w:category>
          <w:name w:val="Allgemein"/>
          <w:gallery w:val="placeholder"/>
        </w:category>
        <w:types>
          <w:type w:val="bbPlcHdr"/>
        </w:types>
        <w:behaviors>
          <w:behavior w:val="content"/>
        </w:behaviors>
        <w:guid w:val="{F0C0AE6D-0B36-4007-9007-D2EEC6C5804B}"/>
      </w:docPartPr>
      <w:docPartBody>
        <w:p w:rsidR="00232A18" w:rsidRDefault="00232A18">
          <w:pPr>
            <w:pStyle w:val="E9145FE808764853821295ADBFAF9D24"/>
          </w:pPr>
          <w:r>
            <w:rPr>
              <w:color w:val="E8E8E8" w:themeColor="background2"/>
            </w:rPr>
            <w:t>[Element auswählen oder überschreiben]</w:t>
          </w:r>
        </w:p>
      </w:docPartBody>
    </w:docPart>
    <w:docPart>
      <w:docPartPr>
        <w:name w:val="262F61FB862647999EDDF0861B14277E"/>
        <w:category>
          <w:name w:val="Allgemein"/>
          <w:gallery w:val="placeholder"/>
        </w:category>
        <w:types>
          <w:type w:val="bbPlcHdr"/>
        </w:types>
        <w:behaviors>
          <w:behavior w:val="content"/>
        </w:behaviors>
        <w:guid w:val="{4CAB9DA6-D26F-4525-96A7-86EB30F3BB60}"/>
      </w:docPartPr>
      <w:docPartBody>
        <w:p w:rsidR="00232A18" w:rsidRDefault="00232A18">
          <w:pPr>
            <w:pStyle w:val="262F61FB862647999EDDF0861B14277E"/>
          </w:pPr>
          <w:r>
            <w:rPr>
              <w:color w:val="E8E8E8" w:themeColor="background2"/>
            </w:rPr>
            <w:t>[Element auswählen oder überschreiben]</w:t>
          </w:r>
        </w:p>
      </w:docPartBody>
    </w:docPart>
    <w:docPart>
      <w:docPartPr>
        <w:name w:val="3E306479C41A4F86899023BEFCF71A7F"/>
        <w:category>
          <w:name w:val="Allgemein"/>
          <w:gallery w:val="placeholder"/>
        </w:category>
        <w:types>
          <w:type w:val="bbPlcHdr"/>
        </w:types>
        <w:behaviors>
          <w:behavior w:val="content"/>
        </w:behaviors>
        <w:guid w:val="{6C52DE4F-3C86-4CA6-B011-A884F5DD3CBF}"/>
      </w:docPartPr>
      <w:docPartBody>
        <w:p w:rsidR="00232A18" w:rsidRDefault="00232A18">
          <w:pPr>
            <w:pStyle w:val="3E306479C41A4F86899023BEFCF71A7F"/>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18"/>
    <w:rsid w:val="00007450"/>
    <w:rsid w:val="00055025"/>
    <w:rsid w:val="00060083"/>
    <w:rsid w:val="00063883"/>
    <w:rsid w:val="00071B5C"/>
    <w:rsid w:val="0011250F"/>
    <w:rsid w:val="00156CA5"/>
    <w:rsid w:val="00177C92"/>
    <w:rsid w:val="001D00BB"/>
    <w:rsid w:val="002316D7"/>
    <w:rsid w:val="00232A18"/>
    <w:rsid w:val="0024558C"/>
    <w:rsid w:val="00284041"/>
    <w:rsid w:val="002D64B9"/>
    <w:rsid w:val="002E289F"/>
    <w:rsid w:val="003222C7"/>
    <w:rsid w:val="00345F2B"/>
    <w:rsid w:val="00382140"/>
    <w:rsid w:val="003A272E"/>
    <w:rsid w:val="003D1957"/>
    <w:rsid w:val="003D7FB1"/>
    <w:rsid w:val="003F137B"/>
    <w:rsid w:val="00437D7C"/>
    <w:rsid w:val="004560BF"/>
    <w:rsid w:val="004621EC"/>
    <w:rsid w:val="004731DE"/>
    <w:rsid w:val="004878B6"/>
    <w:rsid w:val="00494277"/>
    <w:rsid w:val="004A192E"/>
    <w:rsid w:val="004A6824"/>
    <w:rsid w:val="00515306"/>
    <w:rsid w:val="00542C77"/>
    <w:rsid w:val="00557295"/>
    <w:rsid w:val="0056136A"/>
    <w:rsid w:val="005F7285"/>
    <w:rsid w:val="00687D11"/>
    <w:rsid w:val="00693C24"/>
    <w:rsid w:val="006E18DB"/>
    <w:rsid w:val="006E727E"/>
    <w:rsid w:val="00714502"/>
    <w:rsid w:val="00735952"/>
    <w:rsid w:val="007A2728"/>
    <w:rsid w:val="007B41CC"/>
    <w:rsid w:val="007B5E93"/>
    <w:rsid w:val="00833B7D"/>
    <w:rsid w:val="008607A0"/>
    <w:rsid w:val="008B37E6"/>
    <w:rsid w:val="008C7172"/>
    <w:rsid w:val="008D06AA"/>
    <w:rsid w:val="00902EF8"/>
    <w:rsid w:val="009062E6"/>
    <w:rsid w:val="00974261"/>
    <w:rsid w:val="009766DC"/>
    <w:rsid w:val="009A0666"/>
    <w:rsid w:val="009B5B1B"/>
    <w:rsid w:val="009B65EB"/>
    <w:rsid w:val="009C5A63"/>
    <w:rsid w:val="009D6CAC"/>
    <w:rsid w:val="00A25105"/>
    <w:rsid w:val="00A50149"/>
    <w:rsid w:val="00A722E5"/>
    <w:rsid w:val="00AC0EDE"/>
    <w:rsid w:val="00AC4018"/>
    <w:rsid w:val="00AD03C3"/>
    <w:rsid w:val="00AE6585"/>
    <w:rsid w:val="00AF2744"/>
    <w:rsid w:val="00B27B30"/>
    <w:rsid w:val="00B30374"/>
    <w:rsid w:val="00B47958"/>
    <w:rsid w:val="00BA5360"/>
    <w:rsid w:val="00C22FC1"/>
    <w:rsid w:val="00CB77CA"/>
    <w:rsid w:val="00CC073F"/>
    <w:rsid w:val="00D36308"/>
    <w:rsid w:val="00D652CD"/>
    <w:rsid w:val="00DA0604"/>
    <w:rsid w:val="00DE64D5"/>
    <w:rsid w:val="00E51B5C"/>
    <w:rsid w:val="00E53DAE"/>
    <w:rsid w:val="00E659AC"/>
    <w:rsid w:val="00E719BF"/>
    <w:rsid w:val="00E942CC"/>
    <w:rsid w:val="00E97EB3"/>
    <w:rsid w:val="00EE70C8"/>
    <w:rsid w:val="00F035E1"/>
    <w:rsid w:val="00F13E66"/>
    <w:rsid w:val="00FA6F78"/>
    <w:rsid w:val="00FB7009"/>
    <w:rsid w:val="00FC001D"/>
    <w:rsid w:val="00FD698A"/>
    <w:rsid w:val="00FF1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1F7930EA0424ABD8A71317E1C34FDCC">
    <w:name w:val="C1F7930EA0424ABD8A71317E1C34FDCC"/>
  </w:style>
  <w:style w:type="paragraph" w:customStyle="1" w:styleId="32242B522D164D47B54FB4381FC60FCA">
    <w:name w:val="32242B522D164D47B54FB4381FC60FCA"/>
  </w:style>
  <w:style w:type="paragraph" w:customStyle="1" w:styleId="E9145FE808764853821295ADBFAF9D24">
    <w:name w:val="E9145FE808764853821295ADBFAF9D24"/>
  </w:style>
  <w:style w:type="paragraph" w:customStyle="1" w:styleId="262F61FB862647999EDDF0861B14277E">
    <w:name w:val="262F61FB862647999EDDF0861B14277E"/>
  </w:style>
  <w:style w:type="paragraph" w:customStyle="1" w:styleId="3E306479C41A4F86899023BEFCF71A7F">
    <w:name w:val="3E306479C41A4F86899023BEFCF71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GÖG - kategorisch">
      <a:dk1>
        <a:sysClr val="windowText" lastClr="000000"/>
      </a:dk1>
      <a:lt1>
        <a:sysClr val="window" lastClr="FFFFFF"/>
      </a:lt1>
      <a:dk2>
        <a:srgbClr val="FFFFFF"/>
      </a:dk2>
      <a:lt2>
        <a:srgbClr val="000000"/>
      </a:lt2>
      <a:accent1>
        <a:srgbClr val="32466E"/>
      </a:accent1>
      <a:accent2>
        <a:srgbClr val="6197B8"/>
      </a:accent2>
      <a:accent3>
        <a:srgbClr val="C36432"/>
      </a:accent3>
      <a:accent4>
        <a:srgbClr val="D7B416"/>
      </a:accent4>
      <a:accent5>
        <a:srgbClr val="88A62E"/>
      </a:accent5>
      <a:accent6>
        <a:srgbClr val="00573F"/>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H → Ebene 1">
      <c:property id="RoleID" type="string">ParagraphHeaderCellComplex</c:property>
      <c:property id="Down" type="boolean">false</c:property>
      <c:property id="Right" type="boolean">true</c:property>
    </c:group>
    <c:group id="TH → Ebene 2">
      <c:property id="RoleID" type="string">ParagraphHeaderCellComplex</c:property>
      <c:property id="Level" type="integer">2</c:property>
      <c:property id="Down" type="boolean">false</c:property>
      <c:property id="Right" type="boolean">true</c:property>
    </c:group>
    <c:group id="TH → Ebene 3">
      <c:property id="RoleID" type="string">ParagraphHeaderCellComplex</c:property>
      <c:property id="Level" type="integer">3</c:property>
      <c:property id="Down" type="boolean">false</c:property>
      <c:property id="Right" type="boolean">true</c:property>
    </c:group>
    <c:group id="TH ↓ Ebene 1">
      <c:property id="RoleID" type="string">ParagraphHeaderCellComplex</c:property>
    </c:group>
    <c:group id="TH ↓ Ebene 2">
      <c:property id="RoleID" type="string">ParagraphHeaderCellComplex</c:property>
      <c:property id="Level" type="integer">2</c:property>
    </c:group>
    <c:group id="TH ↓ Ebene 3">
      <c:property id="RoleID" type="string">ParagraphHeaderCellComplex</c:property>
      <c:property id="Level" type="integer">3</c:property>
    </c:group>
    <c:group id="TH ↓ Ebene 1 irgendeine">
      <c:property id="RoleID" type="string">ParagraphHeaderCellComplex</c:property>
      <c:property id="MergedChild" type="integer">1</c:property>
    </c:group>
    <c:group id="TH ↓ Ebene 2 irgendeine">
      <c:property id="RoleID" type="string">ParagraphHeaderCellComplex</c:property>
      <c:property id="Level" type="integer">2</c:property>
      <c:property id="MergedChild" type="integer">1</c:property>
    </c:group>
    <c:group id="TH ↓ Ebene 2 nur 1. Spalte">
      <c:property id="RoleID" type="string">ParagraphHeaderCellComplex</c:property>
      <c:property id="MergedHaeder" type="integer">1</c:property>
      <c:property id="Level" type="integer">2</c:property>
    </c:group>
    <c:group id="TH ↓ Ebene 3 nur 1. Spalte">
      <c:property id="RoleID" type="string">ParagraphHeaderCellComplex</c:property>
      <c:property id="Level" type="integer">3</c:property>
      <c:property id="MergedHaeder" type="integer">1</c:property>
    </c:group>
    <c:group id="TH → Ebene 4">
      <c:property id="RoleID" type="string">ParagraphHeaderCellComplex</c:property>
      <c:property id="Level" type="integer">4</c:property>
      <c:property id="Down" type="boolean">false</c:property>
      <c:property id="Right" type="boolean">true</c:property>
    </c:group>
    <c:group id="TH → Ebene 5">
      <c:property id="RoleID" type="string">ParagraphHeaderCellComplex</c:property>
      <c:property id="Level" type="integer">5</c:property>
      <c:property id="Down" type="boolean">false</c:property>
      <c:property id="Right" type="boolean">true</c:property>
    </c:group>
    <c:group id="TH ↓ Ebene 4">
      <c:property id="RoleID" type="string">ParagraphHeaderCellComplex</c:property>
      <c:property id="Level" type="integer">4</c:property>
    </c:group>
    <c:group id="TH ↓ Ebene 4 nur 1. Spalte">
      <c:property id="RoleID" type="string">ParagraphHeaderCellComplex</c:property>
      <c:property id="Level" type="integer">4</c:property>
      <c:property id="MergedHaeder" type="integer">1</c:property>
    </c:group>
  </c:group>
  <c:group id="Content"/>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B759EE6-B940-4702-858F-DCB7446D77F7}">
  <ds:schemaRefs>
    <ds:schemaRef ds:uri="http://ns.axespdf.com/word/configuration"/>
  </ds:schemaRefs>
</ds:datastoreItem>
</file>

<file path=customXml/itemProps2.xml><?xml version="1.0" encoding="utf-8"?>
<ds:datastoreItem xmlns:ds="http://schemas.openxmlformats.org/officeDocument/2006/customXml" ds:itemID="{3E647E9F-24CC-4953-BD66-1FABD851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12819</Words>
  <Characters>80763</Characters>
  <Application>Microsoft Office Word</Application>
  <DocSecurity>0</DocSecurity>
  <Lines>673</Lines>
  <Paragraphs>186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Amon, Margarita</dc:creator>
  <cp:keywords/>
  <dc:description/>
  <cp:lastModifiedBy>Clemens Haushofer</cp:lastModifiedBy>
  <cp:revision>262</cp:revision>
  <dcterms:created xsi:type="dcterms:W3CDTF">2025-08-05T14:17:00Z</dcterms:created>
  <dcterms:modified xsi:type="dcterms:W3CDTF">2025-10-14T12:55:00Z</dcterms:modified>
</cp:coreProperties>
</file>